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beforeLines="0" w:afterLines="0" w:line="620" w:lineRule="atLeast"/>
        <w:jc w:val="center"/>
        <w:rPr>
          <w:rFonts w:hint="eastAsia" w:ascii="宋体" w:hAnsi="宋体"/>
          <w:b/>
          <w:sz w:val="44"/>
          <w:lang w:val="zh-CN"/>
        </w:rPr>
      </w:pPr>
    </w:p>
    <w:p>
      <w:pPr>
        <w:spacing w:beforeLines="0" w:afterLines="0" w:line="276" w:lineRule="auto"/>
        <w:jc w:val="center"/>
        <w:rPr>
          <w:rFonts w:hint="eastAsia" w:ascii="宋体" w:hAnsi="宋体"/>
          <w:b/>
          <w:sz w:val="44"/>
          <w:lang w:val="zh-CN"/>
        </w:rPr>
      </w:pPr>
    </w:p>
    <w:p>
      <w:pPr>
        <w:spacing w:beforeLines="0" w:afterLines="0" w:line="276" w:lineRule="auto"/>
        <w:rPr>
          <w:rFonts w:hint="eastAsia" w:ascii="宋体" w:hAnsi="宋体"/>
          <w:b/>
          <w:sz w:val="52"/>
          <w:lang w:val="zh-CN"/>
        </w:rPr>
      </w:pPr>
    </w:p>
    <w:p>
      <w:pPr>
        <w:spacing w:beforeLines="0" w:afterLines="0" w:line="276" w:lineRule="auto"/>
        <w:jc w:val="center"/>
        <w:rPr>
          <w:rFonts w:hint="eastAsia" w:ascii="宋体" w:hAnsi="宋体"/>
          <w:b/>
          <w:sz w:val="52"/>
          <w:lang w:val="zh-CN"/>
        </w:rPr>
      </w:pPr>
    </w:p>
    <w:p>
      <w:pPr>
        <w:spacing w:beforeLines="0" w:afterLines="0" w:line="276" w:lineRule="auto"/>
        <w:jc w:val="center"/>
        <w:rPr>
          <w:rFonts w:hint="default" w:ascii="??_GB2312" w:hAnsi="??_GB2312" w:eastAsia="??_GB2312"/>
          <w:b/>
          <w:sz w:val="52"/>
          <w:lang w:val="en-US"/>
        </w:rPr>
      </w:pPr>
      <w:r>
        <w:rPr>
          <w:rFonts w:hint="eastAsia" w:ascii="宋体" w:hAnsi="宋体"/>
          <w:b/>
          <w:sz w:val="52"/>
          <w:lang w:val="zh-CN"/>
        </w:rPr>
        <w:t>健康中国行动有关文件汇编</w:t>
      </w:r>
    </w:p>
    <w:p>
      <w:pPr>
        <w:spacing w:beforeLines="0" w:afterLines="0" w:line="276" w:lineRule="auto"/>
        <w:jc w:val="center"/>
        <w:rPr>
          <w:rFonts w:hint="eastAsia" w:ascii="宋体" w:hAnsi="宋体"/>
          <w:b/>
          <w:sz w:val="44"/>
          <w:lang w:val="zh-CN"/>
        </w:rPr>
      </w:pPr>
    </w:p>
    <w:p>
      <w:pPr>
        <w:spacing w:beforeLines="0" w:afterLines="0" w:line="620" w:lineRule="atLeast"/>
        <w:jc w:val="center"/>
        <w:rPr>
          <w:rFonts w:hint="eastAsia" w:ascii="宋体" w:hAnsi="宋体"/>
          <w:b/>
          <w:sz w:val="44"/>
          <w:lang w:val="zh-CN"/>
        </w:rPr>
      </w:pPr>
    </w:p>
    <w:p>
      <w:pPr>
        <w:spacing w:beforeLines="0" w:afterLines="0" w:line="620" w:lineRule="atLeast"/>
        <w:rPr>
          <w:rFonts w:hint="eastAsia" w:ascii="宋体" w:hAnsi="宋体"/>
          <w:b/>
          <w:sz w:val="44"/>
          <w:lang w:val="zh-CN"/>
        </w:rPr>
      </w:pPr>
    </w:p>
    <w:p>
      <w:pPr>
        <w:spacing w:beforeLines="0" w:afterLines="0" w:line="620" w:lineRule="atLeast"/>
        <w:jc w:val="center"/>
        <w:rPr>
          <w:rFonts w:hint="eastAsia" w:ascii="宋体" w:hAnsi="宋体"/>
          <w:b/>
          <w:sz w:val="44"/>
          <w:lang w:val="zh-CN"/>
        </w:rPr>
      </w:pPr>
    </w:p>
    <w:p>
      <w:pPr>
        <w:spacing w:beforeLines="0" w:afterLines="0" w:line="620" w:lineRule="atLeast"/>
        <w:jc w:val="center"/>
        <w:rPr>
          <w:rFonts w:hint="eastAsia" w:ascii="宋体" w:hAnsi="宋体"/>
          <w:b/>
          <w:sz w:val="44"/>
          <w:lang w:val="zh-CN"/>
        </w:rPr>
      </w:pPr>
    </w:p>
    <w:p>
      <w:pPr>
        <w:spacing w:beforeLines="0" w:afterLines="0" w:line="620" w:lineRule="atLeast"/>
        <w:rPr>
          <w:rFonts w:hint="eastAsia" w:ascii="宋体" w:hAnsi="宋体"/>
          <w:b/>
          <w:sz w:val="44"/>
          <w:lang w:val="zh-CN"/>
        </w:rPr>
      </w:pPr>
    </w:p>
    <w:p>
      <w:pPr>
        <w:spacing w:beforeLines="0" w:afterLines="0" w:line="620" w:lineRule="atLeast"/>
        <w:rPr>
          <w:rFonts w:hint="eastAsia" w:ascii="宋体" w:hAnsi="宋体"/>
          <w:b/>
          <w:sz w:val="44"/>
          <w:lang w:val="zh-CN"/>
        </w:rPr>
      </w:pPr>
    </w:p>
    <w:p>
      <w:pPr>
        <w:spacing w:beforeLines="0" w:afterLines="0" w:line="620" w:lineRule="atLeast"/>
        <w:jc w:val="center"/>
        <w:rPr>
          <w:rFonts w:hint="eastAsia" w:ascii="宋体" w:hAnsi="宋体"/>
          <w:b/>
          <w:sz w:val="44"/>
          <w:lang w:val="zh-CN"/>
        </w:rPr>
      </w:pPr>
    </w:p>
    <w:p>
      <w:pPr>
        <w:spacing w:beforeLines="0" w:afterLines="0" w:line="620" w:lineRule="atLeast"/>
        <w:jc w:val="center"/>
        <w:rPr>
          <w:rFonts w:hint="eastAsia" w:ascii="宋体" w:hAnsi="宋体"/>
          <w:b/>
          <w:sz w:val="44"/>
          <w:lang w:val="zh-CN"/>
        </w:rPr>
      </w:pPr>
    </w:p>
    <w:p>
      <w:pPr>
        <w:spacing w:beforeLines="0" w:afterLines="0" w:line="620" w:lineRule="atLeast"/>
        <w:jc w:val="center"/>
        <w:rPr>
          <w:rFonts w:hint="eastAsia" w:ascii="宋体" w:hAnsi="宋体"/>
          <w:b/>
          <w:sz w:val="44"/>
          <w:lang w:val="zh-CN"/>
        </w:rPr>
      </w:pPr>
    </w:p>
    <w:p>
      <w:pPr>
        <w:spacing w:beforeLines="0" w:afterLines="0" w:line="620" w:lineRule="atLeast"/>
        <w:jc w:val="center"/>
        <w:rPr>
          <w:rFonts w:hint="eastAsia" w:ascii="宋体" w:hAnsi="宋体"/>
          <w:b/>
          <w:sz w:val="44"/>
          <w:lang w:val="zh-CN"/>
        </w:rPr>
      </w:pPr>
    </w:p>
    <w:p>
      <w:pPr>
        <w:spacing w:beforeLines="0" w:afterLines="0" w:line="620" w:lineRule="atLeast"/>
        <w:jc w:val="center"/>
        <w:rPr>
          <w:rFonts w:hint="default" w:ascii="??_GB2312" w:hAnsi="??_GB2312" w:eastAsia="??_GB2312"/>
          <w:b/>
          <w:sz w:val="36"/>
          <w:lang w:val="en-US"/>
        </w:rPr>
      </w:pPr>
      <w:r>
        <w:rPr>
          <w:rFonts w:hint="eastAsia" w:ascii="宋体" w:hAnsi="宋体"/>
          <w:b/>
          <w:sz w:val="36"/>
          <w:lang w:val="zh-CN"/>
        </w:rPr>
        <w:t>健康中国行动推进委员会</w:t>
      </w:r>
    </w:p>
    <w:p>
      <w:pPr>
        <w:spacing w:beforeLines="0" w:afterLines="0" w:line="620" w:lineRule="atLeast"/>
        <w:jc w:val="center"/>
        <w:rPr>
          <w:rFonts w:hint="default" w:ascii="??_GB2312" w:hAnsi="??_GB2312" w:eastAsia="??_GB2312"/>
          <w:b/>
          <w:sz w:val="36"/>
          <w:lang w:val="en-US"/>
        </w:rPr>
      </w:pPr>
      <w:r>
        <w:rPr>
          <w:rFonts w:hint="default" w:ascii="??_GB2312" w:hAnsi="??_GB2312" w:eastAsia="??_GB2312"/>
          <w:b/>
          <w:sz w:val="36"/>
          <w:lang w:val="en-US"/>
        </w:rPr>
        <w:t>2019</w:t>
      </w:r>
      <w:r>
        <w:rPr>
          <w:rFonts w:hint="eastAsia" w:ascii="宋体" w:hAnsi="宋体"/>
          <w:b/>
          <w:sz w:val="36"/>
          <w:lang w:val="zh-CN"/>
        </w:rPr>
        <w:t>年</w:t>
      </w:r>
      <w:r>
        <w:rPr>
          <w:rFonts w:hint="default" w:ascii="??_GB2312" w:hAnsi="??_GB2312" w:eastAsia="??_GB2312"/>
          <w:b/>
          <w:sz w:val="36"/>
          <w:lang w:val="en-US"/>
        </w:rPr>
        <w:t>7</w:t>
      </w:r>
      <w:r>
        <w:rPr>
          <w:rFonts w:hint="eastAsia" w:ascii="宋体" w:hAnsi="宋体"/>
          <w:b/>
          <w:sz w:val="36"/>
          <w:lang w:val="zh-CN"/>
        </w:rPr>
        <w:t>月</w:t>
      </w:r>
    </w:p>
    <w:p>
      <w:pPr>
        <w:spacing w:beforeLines="0" w:afterLines="0" w:line="620" w:lineRule="atLeast"/>
        <w:jc w:val="center"/>
        <w:rPr>
          <w:rFonts w:hint="eastAsia" w:ascii="楷体" w:hAnsi="楷体" w:eastAsia="楷体"/>
          <w:b/>
          <w:sz w:val="36"/>
          <w:lang w:val="zh-CN"/>
        </w:rPr>
      </w:pPr>
    </w:p>
    <w:p>
      <w:pPr>
        <w:spacing w:beforeLines="0" w:afterLines="0" w:line="620" w:lineRule="atLeast"/>
        <w:jc w:val="center"/>
        <w:rPr>
          <w:rFonts w:hint="eastAsia" w:ascii="楷体" w:hAnsi="楷体" w:eastAsia="楷体"/>
          <w:b/>
          <w:sz w:val="36"/>
          <w:lang w:val="zh-CN"/>
        </w:rPr>
      </w:pPr>
    </w:p>
    <w:p>
      <w:pPr>
        <w:spacing w:beforeLines="0" w:afterLines="0" w:line="620" w:lineRule="atLeast"/>
        <w:jc w:val="center"/>
        <w:rPr>
          <w:rFonts w:hint="eastAsia" w:ascii="楷体" w:hAnsi="楷体" w:eastAsia="楷体"/>
          <w:b/>
          <w:sz w:val="36"/>
          <w:lang w:val="zh-CN"/>
        </w:rPr>
      </w:pPr>
    </w:p>
    <w:p>
      <w:pPr>
        <w:spacing w:beforeLines="0" w:afterLines="0"/>
        <w:ind w:right="840"/>
        <w:jc w:val="right"/>
        <w:rPr>
          <w:rFonts w:hint="eastAsia" w:ascii="黑体" w:hAnsi="黑体" w:eastAsia="黑体"/>
          <w:sz w:val="32"/>
          <w:lang w:val="zh-CN"/>
        </w:rPr>
      </w:pPr>
    </w:p>
    <w:p>
      <w:pPr>
        <w:spacing w:beforeLines="0" w:afterLines="0"/>
        <w:ind w:right="840"/>
        <w:jc w:val="right"/>
        <w:rPr>
          <w:rFonts w:hint="default" w:ascii="Times New Roman" w:hAnsi="Times New Roman" w:eastAsia="Times New Roman"/>
          <w:sz w:val="32"/>
          <w:lang w:val="en-US"/>
        </w:rPr>
      </w:pPr>
      <w:r>
        <w:rPr>
          <w:rFonts w:hint="eastAsia" w:ascii="黑体" w:hAnsi="黑体" w:eastAsia="黑体"/>
          <w:sz w:val="32"/>
          <w:lang w:val="zh-CN"/>
        </w:rPr>
        <w:t xml:space="preserve"> </w:t>
      </w:r>
    </w:p>
    <w:p>
      <w:pPr>
        <w:spacing w:beforeLines="0" w:afterLines="0" w:line="600" w:lineRule="atLeast"/>
        <w:rPr>
          <w:rFonts w:hint="eastAsia" w:ascii="黑体" w:hAnsi="黑体" w:eastAsia="黑体"/>
          <w:sz w:val="32"/>
          <w:lang w:val="zh-CN"/>
        </w:rPr>
      </w:pPr>
    </w:p>
    <w:p>
      <w:pPr>
        <w:spacing w:beforeLines="0" w:afterLines="0" w:line="600" w:lineRule="atLeast"/>
        <w:rPr>
          <w:rFonts w:hint="eastAsia" w:ascii="黑体" w:hAnsi="黑体" w:eastAsia="黑体"/>
          <w:sz w:val="32"/>
          <w:lang w:val="zh-CN"/>
        </w:rPr>
      </w:pPr>
    </w:p>
    <w:p>
      <w:pPr>
        <w:spacing w:beforeLines="0" w:afterLines="0" w:line="600" w:lineRule="atLeast"/>
        <w:jc w:val="center"/>
        <w:rPr>
          <w:rFonts w:hint="eastAsia" w:ascii="黑体" w:hAnsi="黑体" w:eastAsia="黑体"/>
          <w:sz w:val="36"/>
          <w:lang w:val="zh-CN"/>
        </w:rPr>
      </w:pPr>
      <w:r>
        <w:rPr>
          <w:rFonts w:hint="eastAsia" w:ascii="黑体" w:hAnsi="黑体" w:eastAsia="黑体"/>
          <w:sz w:val="36"/>
          <w:lang w:val="zh-CN"/>
        </w:rPr>
        <w:t>目  录</w:t>
      </w:r>
    </w:p>
    <w:p>
      <w:pPr>
        <w:spacing w:beforeLines="0" w:afterLines="0" w:line="600" w:lineRule="atLeast"/>
        <w:rPr>
          <w:rFonts w:hint="eastAsia" w:ascii="黑体" w:hAnsi="黑体" w:eastAsia="黑体"/>
          <w:sz w:val="36"/>
          <w:lang w:val="zh-CN"/>
        </w:rPr>
      </w:pPr>
    </w:p>
    <w:p>
      <w:pPr>
        <w:tabs>
          <w:tab w:val="right" w:leader="dot" w:pos="8296"/>
        </w:tabs>
        <w:spacing w:beforeLines="0" w:afterLines="0" w:line="640" w:lineRule="atLeast"/>
        <w:rPr>
          <w:rFonts w:hint="default" w:ascii="??_GB2312" w:hAnsi="??_GB2312" w:eastAsia="??_GB2312"/>
          <w:sz w:val="36"/>
          <w:lang w:val="en-US"/>
        </w:rPr>
      </w:pPr>
      <w:r>
        <w:rPr>
          <w:rFonts w:hint="eastAsia" w:ascii="宋体" w:hAnsi="宋体"/>
          <w:sz w:val="36"/>
          <w:lang w:val="zh-CN"/>
        </w:rPr>
        <w:t>一、国务院关于实施健康中国行动的意见</w:t>
      </w:r>
      <w:r>
        <w:rPr>
          <w:rFonts w:hint="default" w:ascii="??_GB2312" w:hAnsi="??_GB2312" w:eastAsia="??_GB2312"/>
          <w:sz w:val="36"/>
          <w:lang w:val="en-US"/>
        </w:rPr>
        <w:tab/>
      </w:r>
      <w:r>
        <w:rPr>
          <w:rFonts w:hint="default" w:ascii="??_GB2312" w:hAnsi="??_GB2312" w:eastAsia="??_GB2312"/>
          <w:sz w:val="36"/>
          <w:lang w:val="en-US"/>
        </w:rPr>
        <w:t>1</w:t>
      </w:r>
    </w:p>
    <w:p>
      <w:pPr>
        <w:tabs>
          <w:tab w:val="right" w:leader="dot" w:pos="8296"/>
        </w:tabs>
        <w:spacing w:beforeLines="0" w:afterLines="0" w:line="640" w:lineRule="atLeast"/>
        <w:rPr>
          <w:rFonts w:hint="default" w:ascii="??_GB2312" w:hAnsi="??_GB2312" w:eastAsia="??_GB2312"/>
          <w:sz w:val="36"/>
          <w:lang w:val="en-US"/>
        </w:rPr>
      </w:pPr>
      <w:r>
        <w:rPr>
          <w:rFonts w:hint="eastAsia" w:ascii="宋体" w:hAnsi="宋体"/>
          <w:sz w:val="36"/>
          <w:lang w:val="zh-CN"/>
        </w:rPr>
        <w:t>二、国务院办公厅关于印发健康中国行动组织实施</w:t>
      </w:r>
    </w:p>
    <w:p>
      <w:pPr>
        <w:tabs>
          <w:tab w:val="right" w:leader="dot" w:pos="8296"/>
        </w:tabs>
        <w:spacing w:beforeLines="0" w:afterLines="0" w:line="640" w:lineRule="atLeast"/>
        <w:ind w:firstLine="720"/>
        <w:rPr>
          <w:rFonts w:hint="default" w:ascii="??_GB2312" w:hAnsi="??_GB2312" w:eastAsia="??_GB2312"/>
          <w:sz w:val="36"/>
          <w:lang w:val="en-US"/>
        </w:rPr>
      </w:pPr>
      <w:r>
        <w:rPr>
          <w:rFonts w:hint="eastAsia" w:ascii="宋体" w:hAnsi="宋体"/>
          <w:sz w:val="36"/>
          <w:lang w:val="zh-CN"/>
        </w:rPr>
        <w:t>和考核方案的通知</w:t>
      </w:r>
      <w:r>
        <w:rPr>
          <w:rFonts w:hint="default" w:ascii="??_GB2312" w:hAnsi="??_GB2312" w:eastAsia="??_GB2312"/>
          <w:sz w:val="36"/>
          <w:lang w:val="en-US"/>
        </w:rPr>
        <w:tab/>
      </w:r>
      <w:r>
        <w:rPr>
          <w:rFonts w:hint="default" w:ascii="??_GB2312" w:hAnsi="??_GB2312" w:eastAsia="??_GB2312"/>
          <w:sz w:val="36"/>
          <w:lang w:val="en-US"/>
        </w:rPr>
        <w:t>12</w:t>
      </w:r>
    </w:p>
    <w:p>
      <w:pPr>
        <w:tabs>
          <w:tab w:val="right" w:leader="dot" w:pos="8296"/>
        </w:tabs>
        <w:spacing w:beforeLines="0" w:afterLines="0" w:line="640" w:lineRule="atLeast"/>
        <w:rPr>
          <w:rFonts w:hint="default" w:ascii="??_GB2312" w:hAnsi="??_GB2312" w:eastAsia="??_GB2312"/>
          <w:sz w:val="36"/>
          <w:lang w:val="en-US"/>
        </w:rPr>
      </w:pPr>
      <w:r>
        <w:rPr>
          <w:rFonts w:hint="eastAsia" w:ascii="宋体" w:hAnsi="宋体"/>
          <w:sz w:val="36"/>
          <w:lang w:val="zh-CN"/>
        </w:rPr>
        <w:t>三、健康中国行动（</w:t>
      </w:r>
      <w:r>
        <w:rPr>
          <w:rFonts w:hint="default" w:ascii="??_GB2312" w:hAnsi="??_GB2312" w:eastAsia="??_GB2312"/>
          <w:sz w:val="36"/>
          <w:lang w:val="en-US"/>
        </w:rPr>
        <w:t>2019</w:t>
      </w:r>
      <w:r>
        <w:rPr>
          <w:rFonts w:hint="default" w:ascii="宋体" w:hAnsi="宋体"/>
          <w:sz w:val="36"/>
          <w:lang w:val="zh-CN"/>
        </w:rPr>
        <w:t>—</w:t>
      </w:r>
      <w:r>
        <w:rPr>
          <w:rFonts w:hint="default" w:ascii="??_GB2312" w:hAnsi="??_GB2312" w:eastAsia="??_GB2312"/>
          <w:sz w:val="36"/>
          <w:lang w:val="en-US"/>
        </w:rPr>
        <w:t>2030</w:t>
      </w:r>
      <w:r>
        <w:rPr>
          <w:rFonts w:hint="eastAsia" w:ascii="宋体" w:hAnsi="宋体"/>
          <w:sz w:val="36"/>
          <w:lang w:val="zh-CN"/>
        </w:rPr>
        <w:t>年）</w:t>
      </w:r>
      <w:r>
        <w:rPr>
          <w:rFonts w:hint="default" w:ascii="??_GB2312" w:hAnsi="??_GB2312" w:eastAsia="??_GB2312"/>
          <w:sz w:val="36"/>
          <w:lang w:val="en-US"/>
        </w:rPr>
        <w:tab/>
      </w:r>
      <w:r>
        <w:rPr>
          <w:rFonts w:hint="default" w:ascii="??_GB2312" w:hAnsi="??_GB2312" w:eastAsia="??_GB2312"/>
          <w:sz w:val="36"/>
          <w:lang w:val="en-US"/>
        </w:rPr>
        <w:t xml:space="preserve">19 </w:t>
      </w:r>
    </w:p>
    <w:p>
      <w:pPr>
        <w:tabs>
          <w:tab w:val="right" w:leader="dot" w:pos="8296"/>
        </w:tabs>
        <w:spacing w:beforeLines="0" w:afterLines="0" w:line="640" w:lineRule="atLeast"/>
        <w:ind w:left="640" w:hanging="640"/>
        <w:rPr>
          <w:rFonts w:hint="default" w:ascii="??_GB2312" w:hAnsi="??_GB2312" w:eastAsia="??_GB2312"/>
          <w:sz w:val="36"/>
          <w:lang w:val="en-US"/>
        </w:rPr>
      </w:pPr>
      <w:r>
        <w:rPr>
          <w:rFonts w:hint="eastAsia" w:ascii="宋体" w:hAnsi="宋体"/>
          <w:sz w:val="36"/>
          <w:lang w:val="zh-CN"/>
        </w:rPr>
        <w:t>四、国务院办公厅关于成立健康中国行动推进委员</w:t>
      </w:r>
    </w:p>
    <w:p>
      <w:pPr>
        <w:tabs>
          <w:tab w:val="right" w:leader="dot" w:pos="8296"/>
        </w:tabs>
        <w:spacing w:beforeLines="0" w:afterLines="0" w:line="640" w:lineRule="atLeast"/>
        <w:ind w:left="717"/>
        <w:rPr>
          <w:rFonts w:hint="default" w:ascii="??_GB2312" w:hAnsi="??_GB2312" w:eastAsia="??_GB2312"/>
          <w:sz w:val="36"/>
          <w:lang w:val="en-US"/>
        </w:rPr>
      </w:pPr>
      <w:r>
        <w:rPr>
          <w:rFonts w:hint="eastAsia" w:ascii="宋体" w:hAnsi="宋体"/>
          <w:sz w:val="36"/>
          <w:lang w:val="zh-CN"/>
        </w:rPr>
        <w:t>会的通知</w:t>
      </w:r>
      <w:r>
        <w:rPr>
          <w:rFonts w:hint="default" w:ascii="??_GB2312" w:hAnsi="??_GB2312" w:eastAsia="??_GB2312"/>
          <w:sz w:val="36"/>
          <w:lang w:val="en-US"/>
        </w:rPr>
        <w:tab/>
      </w:r>
      <w:r>
        <w:rPr>
          <w:rFonts w:hint="default" w:ascii="??_GB2312" w:hAnsi="??_GB2312" w:eastAsia="??_GB2312"/>
          <w:sz w:val="36"/>
          <w:lang w:val="en-US"/>
        </w:rPr>
        <w:t>131</w:t>
      </w:r>
    </w:p>
    <w:p>
      <w:pPr>
        <w:spacing w:beforeLines="0" w:afterLines="0" w:line="600" w:lineRule="atLeast"/>
        <w:rPr>
          <w:rFonts w:hint="default" w:ascii="Times New Roman" w:hAnsi="Times New Roman" w:eastAsia="Times New Roman"/>
          <w:b/>
          <w:sz w:val="36"/>
          <w:lang w:val="en-US"/>
        </w:rPr>
      </w:pPr>
    </w:p>
    <w:p>
      <w:pPr>
        <w:spacing w:beforeLines="0" w:afterLines="0" w:line="600" w:lineRule="atLeast"/>
        <w:rPr>
          <w:rFonts w:hint="default" w:ascii="Times New Roman" w:hAnsi="Times New Roman" w:eastAsia="Times New Roman"/>
          <w:b/>
          <w:sz w:val="36"/>
          <w:lang w:val="en-US"/>
        </w:rPr>
      </w:pPr>
    </w:p>
    <w:p>
      <w:pPr>
        <w:spacing w:beforeLines="0" w:afterLines="0" w:line="600" w:lineRule="atLeast"/>
        <w:rPr>
          <w:rFonts w:hint="default" w:ascii="Times New Roman" w:hAnsi="Times New Roman" w:eastAsia="Times New Roman"/>
          <w:b/>
          <w:sz w:val="36"/>
          <w:lang w:val="en-US"/>
        </w:rPr>
      </w:pPr>
    </w:p>
    <w:p>
      <w:pPr>
        <w:spacing w:beforeLines="0" w:afterLines="0" w:line="600" w:lineRule="atLeast"/>
        <w:jc w:val="both"/>
        <w:rPr>
          <w:rFonts w:hint="eastAsia" w:ascii="宋体" w:hAnsi="宋体"/>
          <w:b/>
          <w:sz w:val="44"/>
          <w:lang w:val="zh-CN"/>
        </w:rPr>
      </w:pPr>
    </w:p>
    <w:p>
      <w:pPr>
        <w:spacing w:beforeLines="0" w:afterLines="0" w:line="600" w:lineRule="atLeast"/>
        <w:jc w:val="center"/>
        <w:rPr>
          <w:rFonts w:hint="eastAsia" w:ascii="宋体" w:hAnsi="宋体"/>
          <w:b/>
          <w:sz w:val="44"/>
          <w:lang w:val="zh-CN"/>
        </w:rPr>
      </w:pPr>
    </w:p>
    <w:p>
      <w:pPr>
        <w:spacing w:beforeLines="0" w:afterLines="0" w:line="600" w:lineRule="atLeast"/>
        <w:jc w:val="center"/>
        <w:rPr>
          <w:rFonts w:hint="eastAsia" w:ascii="宋体" w:hAnsi="宋体"/>
          <w:b/>
          <w:sz w:val="44"/>
          <w:lang w:val="zh-CN"/>
        </w:rPr>
      </w:pPr>
      <w:r>
        <w:rPr>
          <w:rFonts w:hint="eastAsia" w:ascii="宋体" w:hAnsi="宋体"/>
          <w:b/>
          <w:sz w:val="44"/>
          <w:lang w:val="zh-CN"/>
        </w:rPr>
        <w:t>国务院关于实施健康中国行动的意见</w:t>
      </w:r>
    </w:p>
    <w:p>
      <w:pPr>
        <w:spacing w:beforeLines="0" w:afterLines="0" w:line="600" w:lineRule="atLeast"/>
        <w:jc w:val="center"/>
        <w:rPr>
          <w:rFonts w:hint="eastAsia" w:ascii="宋体" w:hAnsi="宋体"/>
          <w:b/>
          <w:sz w:val="44"/>
          <w:lang w:val="zh-CN"/>
        </w:rPr>
      </w:pPr>
      <w:r>
        <w:rPr>
          <w:rFonts w:hint="eastAsia" w:ascii="宋体" w:hAnsi="宋体"/>
          <w:sz w:val="32"/>
          <w:lang w:val="zh-CN"/>
        </w:rPr>
        <w:t>国发〔</w:t>
      </w:r>
      <w:r>
        <w:rPr>
          <w:rFonts w:hint="default" w:ascii="??_GB2312" w:hAnsi="??_GB2312" w:eastAsia="??_GB2312"/>
          <w:sz w:val="32"/>
          <w:lang w:val="en-US"/>
        </w:rPr>
        <w:t>2019</w:t>
      </w:r>
      <w:r>
        <w:rPr>
          <w:rFonts w:hint="eastAsia" w:ascii="宋体" w:hAnsi="宋体"/>
          <w:sz w:val="32"/>
          <w:lang w:val="zh-CN"/>
        </w:rPr>
        <w:t>〕</w:t>
      </w:r>
      <w:r>
        <w:rPr>
          <w:rFonts w:hint="default" w:ascii="??_GB2312" w:hAnsi="??_GB2312" w:eastAsia="??_GB2312"/>
          <w:sz w:val="32"/>
          <w:lang w:val="en-US"/>
        </w:rPr>
        <w:t>13</w:t>
      </w:r>
      <w:r>
        <w:rPr>
          <w:rFonts w:hint="eastAsia" w:ascii="宋体" w:hAnsi="宋体"/>
          <w:sz w:val="32"/>
          <w:lang w:val="zh-CN"/>
        </w:rPr>
        <w:t>号</w:t>
      </w:r>
    </w:p>
    <w:p>
      <w:pPr>
        <w:spacing w:beforeLines="0" w:afterLines="0" w:line="600" w:lineRule="atLeast"/>
        <w:jc w:val="center"/>
        <w:rPr>
          <w:rFonts w:hint="eastAsia" w:ascii="宋体" w:hAnsi="宋体"/>
          <w:b/>
          <w:sz w:val="44"/>
          <w:lang w:val="zh-CN"/>
        </w:rPr>
      </w:pPr>
    </w:p>
    <w:p>
      <w:pPr>
        <w:spacing w:beforeLines="0" w:afterLines="0" w:line="600" w:lineRule="atLeast"/>
        <w:rPr>
          <w:rFonts w:hint="default" w:ascii="??_GB2312" w:hAnsi="??_GB2312" w:eastAsia="??_GB2312"/>
          <w:sz w:val="32"/>
          <w:lang w:val="en-US"/>
        </w:rPr>
      </w:pPr>
      <w:r>
        <w:rPr>
          <w:rFonts w:hint="eastAsia" w:ascii="宋体" w:hAnsi="宋体"/>
          <w:sz w:val="32"/>
          <w:lang w:val="zh-CN"/>
        </w:rPr>
        <w:t>各省、自治区、直辖市人民政府，国务院各部委、各直属机构：</w:t>
      </w:r>
    </w:p>
    <w:p>
      <w:pPr>
        <w:spacing w:beforeLines="0" w:afterLines="0" w:line="600" w:lineRule="atLeast"/>
        <w:ind w:firstLine="640"/>
        <w:rPr>
          <w:rFonts w:hint="default" w:ascii="??_GB2312" w:hAnsi="??_GB2312" w:eastAsia="??_GB2312"/>
          <w:sz w:val="32"/>
          <w:lang w:val="en-US"/>
        </w:rPr>
      </w:pPr>
      <w:r>
        <w:rPr>
          <w:rFonts w:hint="eastAsia" w:ascii="宋体" w:hAnsi="宋体"/>
          <w:sz w:val="32"/>
          <w:lang w:val="zh-CN"/>
        </w:rPr>
        <w:t>人民健康是民族昌盛和国家富强的重要标志，预防是最经济最有效的健康策略。党中央、国务院发布《</w:t>
      </w:r>
      <w:r>
        <w:rPr>
          <w:rFonts w:hint="default" w:ascii="宋体" w:hAnsi="宋体"/>
          <w:sz w:val="32"/>
          <w:lang w:val="zh-CN"/>
        </w:rPr>
        <w:t>“</w:t>
      </w:r>
      <w:r>
        <w:rPr>
          <w:rFonts w:hint="eastAsia" w:ascii="宋体" w:hAnsi="宋体"/>
          <w:sz w:val="32"/>
          <w:lang w:val="zh-CN"/>
        </w:rPr>
        <w:t>健康中国</w:t>
      </w:r>
      <w:r>
        <w:rPr>
          <w:rFonts w:hint="default" w:ascii="??_GB2312" w:hAnsi="??_GB2312" w:eastAsia="??_GB2312"/>
          <w:sz w:val="32"/>
          <w:lang w:val="en-US"/>
        </w:rPr>
        <w:t>2030</w:t>
      </w:r>
      <w:r>
        <w:rPr>
          <w:rFonts w:hint="default" w:ascii="宋体" w:hAnsi="宋体"/>
          <w:sz w:val="32"/>
          <w:lang w:val="zh-CN"/>
        </w:rPr>
        <w:t>”</w:t>
      </w:r>
      <w:r>
        <w:rPr>
          <w:rFonts w:hint="eastAsia" w:ascii="宋体" w:hAnsi="宋体"/>
          <w:sz w:val="32"/>
          <w:lang w:val="zh-CN"/>
        </w:rPr>
        <w:t>规划纲要》，提出了健康中国建设的目标和任务。党的十九大作出实施健康中国战略的重大决策部署，强调坚持预防为主，倡导健康文明生活方式，预防控制重大疾病。为加快推动从以治病为中心转变为以人民健康为中心，动员全社会落实预防为主方针，实施健康中国行动，提高全民健康水平，现提出以下意见。</w:t>
      </w:r>
    </w:p>
    <w:p>
      <w:pPr>
        <w:spacing w:beforeLines="0" w:afterLines="0" w:line="600" w:lineRule="atLeast"/>
        <w:ind w:firstLine="640"/>
        <w:rPr>
          <w:rFonts w:hint="eastAsia" w:ascii="黑体" w:hAnsi="黑体" w:eastAsia="黑体"/>
          <w:sz w:val="32"/>
          <w:lang w:val="zh-CN"/>
        </w:rPr>
      </w:pPr>
      <w:r>
        <w:rPr>
          <w:rFonts w:hint="eastAsia" w:ascii="黑体" w:hAnsi="黑体" w:eastAsia="黑体"/>
          <w:sz w:val="32"/>
          <w:lang w:val="zh-CN"/>
        </w:rPr>
        <w:t>一、行动背景</w:t>
      </w:r>
    </w:p>
    <w:p>
      <w:pPr>
        <w:spacing w:beforeLines="0" w:afterLines="0" w:line="600" w:lineRule="atLeast"/>
        <w:ind w:firstLine="640"/>
        <w:rPr>
          <w:rFonts w:hint="default" w:ascii="??_GB2312" w:hAnsi="??_GB2312" w:eastAsia="??_GB2312"/>
          <w:sz w:val="32"/>
          <w:lang w:val="en-US"/>
        </w:rPr>
      </w:pPr>
      <w:r>
        <w:rPr>
          <w:rFonts w:hint="eastAsia" w:ascii="宋体" w:hAnsi="宋体"/>
          <w:sz w:val="32"/>
          <w:lang w:val="zh-CN"/>
        </w:rPr>
        <w:t>新中国成立后特别是改革开放以来，我国卫生健康事业获得了长足发展，居民主要健康指标总体优于中高收入国家平均水平。随着工业化、城镇化、人口老龄化进程加快，我国居民生产生活方式和疾病谱不断发生变化。心脑血管疾病、癌症、慢性呼吸系统疾病、糖尿病等慢性非传染性疾病导致的死亡人数占总死亡人数的</w:t>
      </w:r>
      <w:r>
        <w:rPr>
          <w:rFonts w:hint="default" w:ascii="??_GB2312" w:hAnsi="??_GB2312" w:eastAsia="??_GB2312"/>
          <w:sz w:val="32"/>
          <w:lang w:val="en-US"/>
        </w:rPr>
        <w:t>88%</w:t>
      </w:r>
      <w:r>
        <w:rPr>
          <w:rFonts w:hint="eastAsia" w:ascii="宋体" w:hAnsi="宋体"/>
          <w:sz w:val="32"/>
          <w:lang w:val="zh-CN"/>
        </w:rPr>
        <w:t>，导致的疾病负担占疾病总负担的</w:t>
      </w:r>
      <w:r>
        <w:rPr>
          <w:rFonts w:hint="default" w:ascii="??_GB2312" w:hAnsi="??_GB2312" w:eastAsia="??_GB2312"/>
          <w:sz w:val="32"/>
          <w:lang w:val="en-US"/>
        </w:rPr>
        <w:t>70%</w:t>
      </w:r>
      <w:r>
        <w:rPr>
          <w:rFonts w:hint="eastAsia" w:ascii="宋体" w:hAnsi="宋体"/>
          <w:sz w:val="32"/>
          <w:lang w:val="zh-CN"/>
        </w:rPr>
        <w:t>以上。居民健康知识知晓率偏低，吸烟、过量饮酒、缺乏锻炼、不合理膳食等不健康生活方式比较普遍，由此引起的疾病问题日益突出。肝炎、结核病、艾滋病等重大传染病防控形势仍然严峻，精神卫生、职业健康、地方病等方面问题不容忽视。</w:t>
      </w:r>
    </w:p>
    <w:p>
      <w:pPr>
        <w:spacing w:beforeLines="0" w:afterLines="0" w:line="600" w:lineRule="atLeast"/>
        <w:ind w:firstLine="640"/>
        <w:rPr>
          <w:rFonts w:hint="default" w:ascii="??_GB2312" w:hAnsi="??_GB2312" w:eastAsia="??_GB2312"/>
          <w:sz w:val="32"/>
          <w:lang w:val="en-US"/>
        </w:rPr>
      </w:pPr>
      <w:r>
        <w:rPr>
          <w:rFonts w:hint="eastAsia" w:ascii="宋体" w:hAnsi="宋体"/>
          <w:sz w:val="32"/>
          <w:lang w:val="zh-CN"/>
        </w:rPr>
        <w:t>为坚持预防为主，把预防摆在更加突出的位置，积极有效应对当前突出健康问题，必须关口前移，采取有效干预措施，细化落实《</w:t>
      </w:r>
      <w:r>
        <w:rPr>
          <w:rFonts w:hint="default" w:ascii="宋体" w:hAnsi="宋体"/>
          <w:sz w:val="32"/>
          <w:lang w:val="zh-CN"/>
        </w:rPr>
        <w:t>“</w:t>
      </w:r>
      <w:r>
        <w:rPr>
          <w:rFonts w:hint="eastAsia" w:ascii="宋体" w:hAnsi="宋体"/>
          <w:sz w:val="32"/>
          <w:lang w:val="zh-CN"/>
        </w:rPr>
        <w:t>健康中国</w:t>
      </w:r>
      <w:r>
        <w:rPr>
          <w:rFonts w:hint="default" w:ascii="??_GB2312" w:hAnsi="??_GB2312" w:eastAsia="??_GB2312"/>
          <w:sz w:val="32"/>
          <w:lang w:val="en-US"/>
        </w:rPr>
        <w:t>2030</w:t>
      </w:r>
      <w:r>
        <w:rPr>
          <w:rFonts w:hint="default" w:ascii="宋体" w:hAnsi="宋体"/>
          <w:sz w:val="32"/>
          <w:lang w:val="zh-CN"/>
        </w:rPr>
        <w:t>”</w:t>
      </w:r>
      <w:r>
        <w:rPr>
          <w:rFonts w:hint="eastAsia" w:ascii="宋体" w:hAnsi="宋体"/>
          <w:sz w:val="32"/>
          <w:lang w:val="zh-CN"/>
        </w:rPr>
        <w:t>规划纲要》对普及健康生活、优化健康服务、建设健康环境等部署，聚焦当前和今后一段时期内影响人民健康的重大疾病和突出问题，实施疾病预防和健康促进的中长期行动，健全全社会落实预防为主的制度体系，持之以恒加以推进，努力使群众不生病、少生病，提高生活质量。</w:t>
      </w:r>
    </w:p>
    <w:p>
      <w:pPr>
        <w:spacing w:beforeLines="0" w:afterLines="0" w:line="600" w:lineRule="atLeast"/>
        <w:ind w:firstLine="640"/>
        <w:rPr>
          <w:rFonts w:hint="eastAsia" w:ascii="黑体" w:hAnsi="黑体" w:eastAsia="黑体"/>
          <w:sz w:val="32"/>
          <w:lang w:val="zh-CN"/>
        </w:rPr>
      </w:pPr>
      <w:r>
        <w:rPr>
          <w:rFonts w:hint="eastAsia" w:ascii="黑体" w:hAnsi="黑体" w:eastAsia="黑体"/>
          <w:sz w:val="32"/>
          <w:lang w:val="zh-CN"/>
        </w:rPr>
        <w:t>二、总体要求</w:t>
      </w:r>
    </w:p>
    <w:p>
      <w:pPr>
        <w:spacing w:beforeLines="0" w:afterLines="0" w:line="600" w:lineRule="atLeast"/>
        <w:ind w:firstLine="643"/>
        <w:rPr>
          <w:rFonts w:hint="default" w:ascii="??_GB2312" w:hAnsi="??_GB2312" w:eastAsia="??_GB2312"/>
          <w:sz w:val="32"/>
          <w:lang w:val="en-US"/>
        </w:rPr>
      </w:pPr>
      <w:r>
        <w:rPr>
          <w:rFonts w:hint="eastAsia" w:ascii="宋体" w:hAnsi="宋体"/>
          <w:b/>
          <w:sz w:val="32"/>
          <w:lang w:val="zh-CN"/>
        </w:rPr>
        <w:t>（一）指导思想。</w:t>
      </w:r>
      <w:r>
        <w:rPr>
          <w:rFonts w:hint="eastAsia" w:ascii="宋体" w:hAnsi="宋体"/>
          <w:sz w:val="32"/>
          <w:lang w:val="zh-CN"/>
        </w:rPr>
        <w:t>以习近平新时代中国特色社会主义思想为指导，全面贯彻党的十九大和十九届二中、三中全会精神，坚持以人民为中心的发展思想，坚持改革创新，贯彻新时代卫生与健康工作方针，强化政府、社会、个人责任，加快推动卫生健康工作理念、服务方式从以治病为中心转变为以人民健康为中心，建立健全健康教育体系，普及健康知识，引导群众建立正确健康观，加强早期干预，形成有利于健康的生活方式、生态环境和社会环境，延长健康寿命，为全方位全周期保障人民健康、建设健康中国奠定坚实基础。</w:t>
      </w:r>
    </w:p>
    <w:p>
      <w:pPr>
        <w:spacing w:beforeLines="0" w:afterLines="0" w:line="600" w:lineRule="atLeast"/>
        <w:ind w:firstLine="643"/>
        <w:rPr>
          <w:rFonts w:hint="default" w:ascii="??_GB2312" w:hAnsi="??_GB2312" w:eastAsia="??_GB2312"/>
          <w:b/>
          <w:sz w:val="32"/>
          <w:lang w:val="en-US"/>
        </w:rPr>
      </w:pPr>
      <w:r>
        <w:rPr>
          <w:rFonts w:hint="eastAsia" w:ascii="宋体" w:hAnsi="宋体"/>
          <w:b/>
          <w:sz w:val="32"/>
          <w:lang w:val="zh-CN"/>
        </w:rPr>
        <w:t>（二）基本原则。</w:t>
      </w:r>
    </w:p>
    <w:p>
      <w:pPr>
        <w:spacing w:beforeLines="0" w:afterLines="0" w:line="600" w:lineRule="atLeast"/>
        <w:ind w:firstLine="640"/>
        <w:rPr>
          <w:rFonts w:hint="default" w:ascii="??_GB2312" w:hAnsi="??_GB2312" w:eastAsia="??_GB2312"/>
          <w:sz w:val="32"/>
          <w:lang w:val="en-US"/>
        </w:rPr>
      </w:pPr>
      <w:r>
        <w:rPr>
          <w:rFonts w:hint="eastAsia" w:ascii="宋体" w:hAnsi="宋体"/>
          <w:sz w:val="32"/>
          <w:lang w:val="zh-CN"/>
        </w:rPr>
        <w:t>普及知识、提升素养。把提升健康素养作为增进全民健康的前提，根据不同人群特点有针对性地加强健康教育与促进，让健康知识、行为和技能成为全民普遍具备的素质和能力，实现健康素养人人有。</w:t>
      </w:r>
    </w:p>
    <w:p>
      <w:pPr>
        <w:spacing w:beforeLines="0" w:afterLines="0" w:line="600" w:lineRule="atLeast"/>
        <w:ind w:firstLine="640"/>
        <w:rPr>
          <w:rFonts w:hint="default" w:ascii="??_GB2312" w:hAnsi="??_GB2312" w:eastAsia="??_GB2312"/>
          <w:sz w:val="32"/>
          <w:lang w:val="en-US"/>
        </w:rPr>
      </w:pPr>
      <w:r>
        <w:rPr>
          <w:rFonts w:hint="eastAsia" w:ascii="宋体" w:hAnsi="宋体"/>
          <w:sz w:val="32"/>
          <w:lang w:val="zh-CN"/>
        </w:rPr>
        <w:t>自主自律、健康生活。倡导每个人是自己健康第一责任人的理念，激发居民热爱健康、追求健康的热情，养成符合自身和家庭特点的健康生活方式，合理膳食、科学运动、戒烟限酒、心理平衡，实现健康生活少生病。</w:t>
      </w:r>
    </w:p>
    <w:p>
      <w:pPr>
        <w:spacing w:beforeLines="0" w:afterLines="0" w:line="600" w:lineRule="atLeast"/>
        <w:ind w:firstLine="640"/>
        <w:rPr>
          <w:rFonts w:hint="default" w:ascii="??_GB2312" w:hAnsi="??_GB2312" w:eastAsia="??_GB2312"/>
          <w:sz w:val="32"/>
          <w:lang w:val="en-US"/>
        </w:rPr>
      </w:pPr>
      <w:r>
        <w:rPr>
          <w:rFonts w:hint="eastAsia" w:ascii="宋体" w:hAnsi="宋体"/>
          <w:sz w:val="32"/>
          <w:lang w:val="zh-CN"/>
        </w:rPr>
        <w:t>早期干预、完善服务。对主要健康问题及影响因素尽早采取有效干预措施，完善防治策略，推动健康服务供给侧结构性改革，提供系统连续的预防、治疗、康复、健康促进一体化服务，加强医疗保障政策与健康服务的衔接，实现早诊早治早康复。</w:t>
      </w:r>
    </w:p>
    <w:p>
      <w:pPr>
        <w:spacing w:beforeLines="0" w:afterLines="0" w:line="600" w:lineRule="atLeast"/>
        <w:ind w:firstLine="640"/>
        <w:rPr>
          <w:rFonts w:hint="default" w:ascii="??_GB2312" w:hAnsi="??_GB2312" w:eastAsia="??_GB2312"/>
          <w:sz w:val="32"/>
          <w:lang w:val="en-US"/>
        </w:rPr>
      </w:pPr>
      <w:r>
        <w:rPr>
          <w:rFonts w:hint="eastAsia" w:ascii="宋体" w:hAnsi="宋体"/>
          <w:sz w:val="32"/>
          <w:lang w:val="zh-CN"/>
        </w:rPr>
        <w:t>全民参与、共建共享。强化跨部门协作，鼓励和引导单位、社区（村）、家庭和个人行动起来，形成政府积极主导、社会广泛动员、人人尽责尽力的良好局面，实现健康中国行动齐参与。</w:t>
      </w:r>
    </w:p>
    <w:p>
      <w:pPr>
        <w:spacing w:beforeLines="0" w:afterLines="0" w:line="600" w:lineRule="atLeast"/>
        <w:ind w:firstLine="643"/>
        <w:rPr>
          <w:rFonts w:hint="default" w:ascii="??_GB2312" w:hAnsi="??_GB2312" w:eastAsia="??_GB2312"/>
          <w:b/>
          <w:sz w:val="32"/>
          <w:lang w:val="en-US"/>
        </w:rPr>
      </w:pPr>
      <w:r>
        <w:rPr>
          <w:rFonts w:hint="eastAsia" w:ascii="宋体" w:hAnsi="宋体"/>
          <w:b/>
          <w:sz w:val="32"/>
          <w:lang w:val="zh-CN"/>
        </w:rPr>
        <w:t>（三）总体目标。</w:t>
      </w:r>
    </w:p>
    <w:p>
      <w:pPr>
        <w:spacing w:beforeLines="0" w:afterLines="0" w:line="600" w:lineRule="atLeast"/>
        <w:ind w:firstLine="640"/>
        <w:rPr>
          <w:rFonts w:hint="default" w:ascii="??_GB2312" w:hAnsi="??_GB2312" w:eastAsia="??_GB2312"/>
          <w:sz w:val="32"/>
          <w:lang w:val="en-US"/>
        </w:rPr>
      </w:pPr>
      <w:r>
        <w:rPr>
          <w:rFonts w:hint="eastAsia" w:ascii="宋体" w:hAnsi="宋体"/>
          <w:sz w:val="32"/>
          <w:lang w:val="zh-CN"/>
        </w:rPr>
        <w:t>到</w:t>
      </w:r>
      <w:r>
        <w:rPr>
          <w:rFonts w:hint="default" w:ascii="??_GB2312" w:hAnsi="??_GB2312" w:eastAsia="??_GB2312"/>
          <w:sz w:val="32"/>
          <w:lang w:val="en-US"/>
        </w:rPr>
        <w:t>2022</w:t>
      </w:r>
      <w:r>
        <w:rPr>
          <w:rFonts w:hint="eastAsia" w:ascii="宋体" w:hAnsi="宋体"/>
          <w:sz w:val="32"/>
          <w:lang w:val="zh-CN"/>
        </w:rPr>
        <w:t>年，健康促进政策体系基本建立，全民健康素养水平稳步提高，健康生活方式加快推广，重大慢性病发病率上升趋势得到遏制，重点传染病、严重精神障碍、地方病、职业病得到有效防控，致残和死亡风险逐步降低，重点人群健康状况显著改善。</w:t>
      </w:r>
    </w:p>
    <w:p>
      <w:pPr>
        <w:spacing w:beforeLines="0" w:afterLines="0" w:line="600" w:lineRule="atLeast"/>
        <w:ind w:firstLine="640"/>
        <w:rPr>
          <w:rFonts w:hint="default" w:ascii="??_GB2312" w:hAnsi="??_GB2312" w:eastAsia="??_GB2312"/>
          <w:sz w:val="32"/>
          <w:lang w:val="en-US"/>
        </w:rPr>
      </w:pPr>
      <w:r>
        <w:rPr>
          <w:rFonts w:hint="eastAsia" w:ascii="宋体" w:hAnsi="宋体"/>
          <w:sz w:val="32"/>
          <w:lang w:val="zh-CN"/>
        </w:rPr>
        <w:t>到</w:t>
      </w:r>
      <w:r>
        <w:rPr>
          <w:rFonts w:hint="default" w:ascii="??_GB2312" w:hAnsi="??_GB2312" w:eastAsia="??_GB2312"/>
          <w:sz w:val="32"/>
          <w:lang w:val="en-US"/>
        </w:rPr>
        <w:t>2030</w:t>
      </w:r>
      <w:r>
        <w:rPr>
          <w:rFonts w:hint="eastAsia" w:ascii="宋体" w:hAnsi="宋体"/>
          <w:sz w:val="32"/>
          <w:lang w:val="zh-CN"/>
        </w:rPr>
        <w:t>年，全民健康素养水平大幅提升，健康生活方式基本普及，居民主要健康影响因素得到有效控制，因重大慢性病导致的过早死亡率明显降低，人均健康预期寿命得到较大提高，居民主要健康指标水平进入高收入国家行列，健康公平基本实现。</w:t>
      </w:r>
    </w:p>
    <w:p>
      <w:pPr>
        <w:spacing w:beforeLines="0" w:afterLines="0" w:line="600" w:lineRule="atLeast"/>
        <w:ind w:firstLine="640"/>
        <w:rPr>
          <w:rFonts w:hint="eastAsia" w:ascii="黑体" w:hAnsi="黑体" w:eastAsia="黑体"/>
          <w:sz w:val="32"/>
          <w:lang w:val="zh-CN"/>
        </w:rPr>
      </w:pPr>
      <w:r>
        <w:rPr>
          <w:rFonts w:hint="eastAsia" w:ascii="黑体" w:hAnsi="黑体" w:eastAsia="黑体"/>
          <w:sz w:val="32"/>
          <w:lang w:val="zh-CN"/>
        </w:rPr>
        <w:t>三、主要任务</w:t>
      </w:r>
    </w:p>
    <w:p>
      <w:pPr>
        <w:spacing w:beforeLines="0" w:afterLines="0" w:line="600" w:lineRule="atLeast"/>
        <w:ind w:firstLine="643"/>
        <w:rPr>
          <w:rFonts w:hint="default" w:ascii="??_GB2312" w:hAnsi="??_GB2312" w:eastAsia="??_GB2312"/>
          <w:b/>
          <w:sz w:val="32"/>
          <w:lang w:val="en-US"/>
        </w:rPr>
      </w:pPr>
      <w:r>
        <w:rPr>
          <w:rFonts w:hint="eastAsia" w:ascii="宋体" w:hAnsi="宋体"/>
          <w:b/>
          <w:sz w:val="32"/>
          <w:lang w:val="zh-CN"/>
        </w:rPr>
        <w:t>（一）全方位干预健康影响因素。</w:t>
      </w:r>
    </w:p>
    <w:p>
      <w:pPr>
        <w:spacing w:beforeLines="0" w:afterLines="0" w:line="600" w:lineRule="atLeast"/>
        <w:ind w:firstLine="627"/>
        <w:rPr>
          <w:rFonts w:hint="default" w:ascii="??_GB2312" w:hAnsi="??_GB2312" w:eastAsia="??_GB2312"/>
          <w:sz w:val="32"/>
          <w:lang w:val="en-US"/>
        </w:rPr>
      </w:pPr>
      <w:r>
        <w:rPr>
          <w:rFonts w:hint="default" w:ascii="??_GB2312" w:hAnsi="??_GB2312" w:eastAsia="??_GB2312"/>
          <w:sz w:val="32"/>
          <w:lang w:val="en-US"/>
        </w:rPr>
        <w:t>1.</w:t>
      </w:r>
      <w:r>
        <w:rPr>
          <w:rFonts w:hint="eastAsia" w:ascii="宋体" w:hAnsi="宋体"/>
          <w:sz w:val="32"/>
          <w:lang w:val="zh-CN"/>
        </w:rPr>
        <w:t>实施健康知识普及行动。维护健康需要掌握健康知识。面向家庭和个人普及预防疾病、早期发现、紧急救援、及时就医、合理用药等维护健康的知识与技能。建立并完善健康科普专家库和资源库，构建健康科普知识发布和传播机制。强化医疗卫生机构和医务人员开展健康促进与教育的激励约束。鼓励各级电台电视台和其他媒体开办优质健康科普节目。到</w:t>
      </w:r>
      <w:r>
        <w:rPr>
          <w:rFonts w:hint="default" w:ascii="??_GB2312" w:hAnsi="??_GB2312" w:eastAsia="??_GB2312"/>
          <w:sz w:val="32"/>
          <w:lang w:val="en-US"/>
        </w:rPr>
        <w:t>2022</w:t>
      </w:r>
      <w:r>
        <w:rPr>
          <w:rFonts w:hint="eastAsia" w:ascii="宋体" w:hAnsi="宋体"/>
          <w:sz w:val="32"/>
          <w:lang w:val="zh-CN"/>
        </w:rPr>
        <w:t>年和</w:t>
      </w:r>
      <w:r>
        <w:rPr>
          <w:rFonts w:hint="default" w:ascii="??_GB2312" w:hAnsi="??_GB2312" w:eastAsia="??_GB2312"/>
          <w:sz w:val="32"/>
          <w:lang w:val="en-US"/>
        </w:rPr>
        <w:t>2030</w:t>
      </w:r>
      <w:r>
        <w:rPr>
          <w:rFonts w:hint="eastAsia" w:ascii="宋体" w:hAnsi="宋体"/>
          <w:sz w:val="32"/>
          <w:lang w:val="zh-CN"/>
        </w:rPr>
        <w:t>年，全国居民健康素养水平分别不低于</w:t>
      </w:r>
      <w:r>
        <w:rPr>
          <w:rFonts w:hint="default" w:ascii="??_GB2312" w:hAnsi="??_GB2312" w:eastAsia="??_GB2312"/>
          <w:sz w:val="32"/>
          <w:lang w:val="en-US"/>
        </w:rPr>
        <w:t>22%</w:t>
      </w:r>
      <w:r>
        <w:rPr>
          <w:rFonts w:hint="eastAsia" w:ascii="宋体" w:hAnsi="宋体"/>
          <w:sz w:val="32"/>
          <w:lang w:val="zh-CN"/>
        </w:rPr>
        <w:t>和</w:t>
      </w:r>
      <w:r>
        <w:rPr>
          <w:rFonts w:hint="default" w:ascii="??_GB2312" w:hAnsi="??_GB2312" w:eastAsia="??_GB2312"/>
          <w:sz w:val="32"/>
          <w:lang w:val="en-US"/>
        </w:rPr>
        <w:t>30%</w:t>
      </w:r>
      <w:r>
        <w:rPr>
          <w:rFonts w:hint="eastAsia" w:ascii="宋体" w:hAnsi="宋体"/>
          <w:sz w:val="32"/>
          <w:lang w:val="zh-CN"/>
        </w:rPr>
        <w:t>。</w:t>
      </w:r>
    </w:p>
    <w:p>
      <w:pPr>
        <w:spacing w:beforeLines="0" w:afterLines="0" w:line="600" w:lineRule="atLeast"/>
        <w:ind w:firstLine="627"/>
        <w:rPr>
          <w:rFonts w:hint="default" w:ascii="??_GB2312" w:hAnsi="??_GB2312" w:eastAsia="??_GB2312"/>
          <w:sz w:val="32"/>
          <w:lang w:val="en-US"/>
        </w:rPr>
      </w:pPr>
      <w:r>
        <w:rPr>
          <w:rFonts w:hint="default" w:ascii="??_GB2312" w:hAnsi="??_GB2312" w:eastAsia="??_GB2312"/>
          <w:sz w:val="32"/>
          <w:lang w:val="en-US"/>
        </w:rPr>
        <w:t>2.</w:t>
      </w:r>
      <w:r>
        <w:rPr>
          <w:rFonts w:hint="eastAsia" w:ascii="宋体" w:hAnsi="宋体"/>
          <w:sz w:val="32"/>
          <w:lang w:val="zh-CN"/>
        </w:rPr>
        <w:t>实施合理膳食行动。合理膳食是健康的基础。针对一般人群、特定人群和家庭</w:t>
      </w:r>
      <w:r>
        <w:rPr>
          <w:rFonts w:hint="default" w:ascii="??_GB2312" w:hAnsi="??_GB2312" w:eastAsia="??_GB2312"/>
          <w:sz w:val="32"/>
          <w:lang w:val="en-US"/>
        </w:rPr>
        <w:t>,</w:t>
      </w:r>
      <w:r>
        <w:rPr>
          <w:rFonts w:hint="eastAsia" w:ascii="宋体" w:hAnsi="宋体"/>
          <w:sz w:val="32"/>
          <w:lang w:val="zh-CN"/>
        </w:rPr>
        <w:t>聚焦食堂、餐厅等场所，加强营养和膳食指导。鼓励全社会参与减盐、减油、减糖，研究完善盐、油、糖包装标准。修订预包装食品营养标签通则，推进食品营养标准体系建设。实施贫困地区重点人群营养干预。到</w:t>
      </w:r>
      <w:r>
        <w:rPr>
          <w:rFonts w:hint="default" w:ascii="??_GB2312" w:hAnsi="??_GB2312" w:eastAsia="??_GB2312"/>
          <w:sz w:val="32"/>
          <w:lang w:val="en-US"/>
        </w:rPr>
        <w:t>2022</w:t>
      </w:r>
      <w:r>
        <w:rPr>
          <w:rFonts w:hint="eastAsia" w:ascii="宋体" w:hAnsi="宋体"/>
          <w:sz w:val="32"/>
          <w:lang w:val="zh-CN"/>
        </w:rPr>
        <w:t>年和</w:t>
      </w:r>
      <w:r>
        <w:rPr>
          <w:rFonts w:hint="default" w:ascii="??_GB2312" w:hAnsi="??_GB2312" w:eastAsia="??_GB2312"/>
          <w:sz w:val="32"/>
          <w:lang w:val="en-US"/>
        </w:rPr>
        <w:t>2030</w:t>
      </w:r>
      <w:r>
        <w:rPr>
          <w:rFonts w:hint="eastAsia" w:ascii="宋体" w:hAnsi="宋体"/>
          <w:sz w:val="32"/>
          <w:lang w:val="zh-CN"/>
        </w:rPr>
        <w:t>年，成人肥胖增长率持续减缓，</w:t>
      </w:r>
      <w:r>
        <w:rPr>
          <w:rFonts w:hint="default" w:ascii="??_GB2312" w:hAnsi="??_GB2312" w:eastAsia="??_GB2312"/>
          <w:sz w:val="32"/>
          <w:lang w:val="en-US"/>
        </w:rPr>
        <w:t>5</w:t>
      </w:r>
      <w:r>
        <w:rPr>
          <w:rFonts w:hint="eastAsia" w:ascii="宋体" w:hAnsi="宋体"/>
          <w:sz w:val="32"/>
          <w:lang w:val="zh-CN"/>
        </w:rPr>
        <w:t>岁以下儿童生长迟缓率分别低于</w:t>
      </w:r>
      <w:r>
        <w:rPr>
          <w:rFonts w:hint="default" w:ascii="??_GB2312" w:hAnsi="??_GB2312" w:eastAsia="??_GB2312"/>
          <w:sz w:val="32"/>
          <w:lang w:val="en-US"/>
        </w:rPr>
        <w:t>7%</w:t>
      </w:r>
      <w:r>
        <w:rPr>
          <w:rFonts w:hint="eastAsia" w:ascii="宋体" w:hAnsi="宋体"/>
          <w:sz w:val="32"/>
          <w:lang w:val="zh-CN"/>
        </w:rPr>
        <w:t>和</w:t>
      </w:r>
      <w:r>
        <w:rPr>
          <w:rFonts w:hint="default" w:ascii="??_GB2312" w:hAnsi="??_GB2312" w:eastAsia="??_GB2312"/>
          <w:sz w:val="32"/>
          <w:lang w:val="en-US"/>
        </w:rPr>
        <w:t>5%</w:t>
      </w:r>
      <w:r>
        <w:rPr>
          <w:rFonts w:hint="eastAsia" w:ascii="宋体" w:hAnsi="宋体"/>
          <w:sz w:val="32"/>
          <w:lang w:val="zh-CN"/>
        </w:rPr>
        <w:t>。</w:t>
      </w:r>
    </w:p>
    <w:p>
      <w:pPr>
        <w:spacing w:beforeLines="0" w:afterLines="0" w:line="600" w:lineRule="atLeast"/>
        <w:ind w:firstLine="627"/>
        <w:rPr>
          <w:rFonts w:hint="default" w:ascii="??_GB2312" w:hAnsi="??_GB2312" w:eastAsia="??_GB2312"/>
          <w:sz w:val="32"/>
          <w:lang w:val="en-US"/>
        </w:rPr>
      </w:pPr>
      <w:r>
        <w:rPr>
          <w:rFonts w:hint="default" w:ascii="??_GB2312" w:hAnsi="??_GB2312" w:eastAsia="??_GB2312"/>
          <w:sz w:val="32"/>
          <w:lang w:val="en-US"/>
        </w:rPr>
        <w:t>3.</w:t>
      </w:r>
      <w:r>
        <w:rPr>
          <w:rFonts w:hint="eastAsia" w:ascii="宋体" w:hAnsi="宋体"/>
          <w:sz w:val="32"/>
          <w:lang w:val="zh-CN"/>
        </w:rPr>
        <w:t>实施全民健身行动。生命在于运动，运动需要科学。为不同人群提供针对性的运动健身方案或运动指导服务。努力打造百姓身边健身组织和</w:t>
      </w:r>
      <w:r>
        <w:rPr>
          <w:rFonts w:hint="default" w:ascii="宋体" w:hAnsi="宋体"/>
          <w:sz w:val="32"/>
          <w:lang w:val="zh-CN"/>
        </w:rPr>
        <w:t>“</w:t>
      </w:r>
      <w:r>
        <w:rPr>
          <w:rFonts w:hint="default" w:ascii="??_GB2312" w:hAnsi="??_GB2312" w:eastAsia="??_GB2312"/>
          <w:sz w:val="32"/>
          <w:lang w:val="en-US"/>
        </w:rPr>
        <w:t>15</w:t>
      </w:r>
      <w:r>
        <w:rPr>
          <w:rFonts w:hint="eastAsia" w:ascii="宋体" w:hAnsi="宋体"/>
          <w:sz w:val="32"/>
          <w:lang w:val="zh-CN"/>
        </w:rPr>
        <w:t>分钟健身圈</w:t>
      </w:r>
      <w:r>
        <w:rPr>
          <w:rFonts w:hint="default" w:ascii="宋体" w:hAnsi="宋体"/>
          <w:sz w:val="32"/>
          <w:lang w:val="zh-CN"/>
        </w:rPr>
        <w:t>”</w:t>
      </w:r>
      <w:r>
        <w:rPr>
          <w:rFonts w:hint="eastAsia" w:ascii="宋体" w:hAnsi="宋体"/>
          <w:sz w:val="32"/>
          <w:lang w:val="zh-CN"/>
        </w:rPr>
        <w:t>。推行公共体育设施免费或低收费开放。推动形成体医结合的疾病管理和健康服务模式。把高校学生体质健康状况纳入对高校的考核评价。到</w:t>
      </w:r>
      <w:r>
        <w:rPr>
          <w:rFonts w:hint="default" w:ascii="??_GB2312" w:hAnsi="??_GB2312" w:eastAsia="??_GB2312"/>
          <w:sz w:val="32"/>
          <w:lang w:val="en-US"/>
        </w:rPr>
        <w:t>2022</w:t>
      </w:r>
      <w:r>
        <w:rPr>
          <w:rFonts w:hint="eastAsia" w:ascii="宋体" w:hAnsi="宋体"/>
          <w:sz w:val="32"/>
          <w:lang w:val="zh-CN"/>
        </w:rPr>
        <w:t>年和</w:t>
      </w:r>
      <w:r>
        <w:rPr>
          <w:rFonts w:hint="default" w:ascii="??_GB2312" w:hAnsi="??_GB2312" w:eastAsia="??_GB2312"/>
          <w:sz w:val="32"/>
          <w:lang w:val="en-US"/>
        </w:rPr>
        <w:t>2030</w:t>
      </w:r>
      <w:r>
        <w:rPr>
          <w:rFonts w:hint="eastAsia" w:ascii="宋体" w:hAnsi="宋体"/>
          <w:sz w:val="32"/>
          <w:lang w:val="zh-CN"/>
        </w:rPr>
        <w:t>年，城乡居民达到《国民体质测定标准》合格以上的人数比例分别不少于</w:t>
      </w:r>
      <w:r>
        <w:rPr>
          <w:rFonts w:hint="default" w:ascii="??_GB2312" w:hAnsi="??_GB2312" w:eastAsia="??_GB2312"/>
          <w:sz w:val="32"/>
          <w:lang w:val="en-US"/>
        </w:rPr>
        <w:t>90.86%</w:t>
      </w:r>
      <w:r>
        <w:rPr>
          <w:rFonts w:hint="eastAsia" w:ascii="宋体" w:hAnsi="宋体"/>
          <w:sz w:val="32"/>
          <w:lang w:val="zh-CN"/>
        </w:rPr>
        <w:t>和</w:t>
      </w:r>
      <w:r>
        <w:rPr>
          <w:rFonts w:hint="default" w:ascii="??_GB2312" w:hAnsi="??_GB2312" w:eastAsia="??_GB2312"/>
          <w:sz w:val="32"/>
          <w:lang w:val="en-US"/>
        </w:rPr>
        <w:t>92.17%</w:t>
      </w:r>
      <w:r>
        <w:rPr>
          <w:rFonts w:hint="eastAsia" w:ascii="宋体" w:hAnsi="宋体"/>
          <w:sz w:val="32"/>
          <w:lang w:val="zh-CN"/>
        </w:rPr>
        <w:t>，经常参加体育锻炼人数比例达到</w:t>
      </w:r>
      <w:r>
        <w:rPr>
          <w:rFonts w:hint="default" w:ascii="??_GB2312" w:hAnsi="??_GB2312" w:eastAsia="??_GB2312"/>
          <w:sz w:val="32"/>
          <w:lang w:val="en-US"/>
        </w:rPr>
        <w:t>37%</w:t>
      </w:r>
      <w:r>
        <w:rPr>
          <w:rFonts w:hint="eastAsia" w:ascii="宋体" w:hAnsi="宋体"/>
          <w:sz w:val="32"/>
          <w:lang w:val="zh-CN"/>
        </w:rPr>
        <w:t>及以上和</w:t>
      </w:r>
      <w:r>
        <w:rPr>
          <w:rFonts w:hint="default" w:ascii="??_GB2312" w:hAnsi="??_GB2312" w:eastAsia="??_GB2312"/>
          <w:sz w:val="32"/>
          <w:lang w:val="en-US"/>
        </w:rPr>
        <w:t>40%</w:t>
      </w:r>
      <w:r>
        <w:rPr>
          <w:rFonts w:hint="eastAsia" w:ascii="宋体" w:hAnsi="宋体"/>
          <w:sz w:val="32"/>
          <w:lang w:val="zh-CN"/>
        </w:rPr>
        <w:t>及以上。</w:t>
      </w:r>
    </w:p>
    <w:p>
      <w:pPr>
        <w:spacing w:beforeLines="0" w:afterLines="0" w:line="600" w:lineRule="atLeast"/>
        <w:ind w:firstLine="640"/>
        <w:rPr>
          <w:rFonts w:hint="default" w:ascii="??_GB2312" w:hAnsi="??_GB2312" w:eastAsia="??_GB2312"/>
          <w:sz w:val="32"/>
          <w:lang w:val="en-US"/>
        </w:rPr>
      </w:pPr>
      <w:r>
        <w:rPr>
          <w:rFonts w:hint="default" w:ascii="??_GB2312" w:hAnsi="??_GB2312" w:eastAsia="??_GB2312"/>
          <w:sz w:val="32"/>
          <w:lang w:val="en-US"/>
        </w:rPr>
        <w:t>4.</w:t>
      </w:r>
      <w:r>
        <w:rPr>
          <w:rFonts w:hint="eastAsia" w:ascii="宋体" w:hAnsi="宋体"/>
          <w:sz w:val="32"/>
          <w:lang w:val="zh-CN"/>
        </w:rPr>
        <w:t>实施控烟行动。吸烟严重危害人民健康。推动个人和家庭充分了解吸烟和二手烟暴露的严重危害。鼓励领导干部、医务人员和教师发挥控烟引领作用，把各级党政机关建设成无烟机关。研究利用税收、价格调节等综合手段，提高控烟成效。完善卷烟包装烟草危害警示内容和形式。到</w:t>
      </w:r>
      <w:r>
        <w:rPr>
          <w:rFonts w:hint="default" w:ascii="??_GB2312" w:hAnsi="??_GB2312" w:eastAsia="??_GB2312"/>
          <w:sz w:val="32"/>
          <w:lang w:val="en-US"/>
        </w:rPr>
        <w:t>2022</w:t>
      </w:r>
      <w:r>
        <w:rPr>
          <w:rFonts w:hint="eastAsia" w:ascii="宋体" w:hAnsi="宋体"/>
          <w:sz w:val="32"/>
          <w:lang w:val="zh-CN"/>
        </w:rPr>
        <w:t>年和</w:t>
      </w:r>
      <w:r>
        <w:rPr>
          <w:rFonts w:hint="default" w:ascii="??_GB2312" w:hAnsi="??_GB2312" w:eastAsia="??_GB2312"/>
          <w:sz w:val="32"/>
          <w:lang w:val="en-US"/>
        </w:rPr>
        <w:t>2030</w:t>
      </w:r>
      <w:r>
        <w:rPr>
          <w:rFonts w:hint="eastAsia" w:ascii="宋体" w:hAnsi="宋体"/>
          <w:sz w:val="32"/>
          <w:lang w:val="zh-CN"/>
        </w:rPr>
        <w:t>年，全面无烟法规保护的人口比例分别达到</w:t>
      </w:r>
      <w:r>
        <w:rPr>
          <w:rFonts w:hint="default" w:ascii="??_GB2312" w:hAnsi="??_GB2312" w:eastAsia="??_GB2312"/>
          <w:sz w:val="32"/>
          <w:lang w:val="en-US"/>
        </w:rPr>
        <w:t>30%</w:t>
      </w:r>
      <w:r>
        <w:rPr>
          <w:rFonts w:hint="eastAsia" w:ascii="宋体" w:hAnsi="宋体"/>
          <w:sz w:val="32"/>
          <w:lang w:val="zh-CN"/>
        </w:rPr>
        <w:t>及以上和</w:t>
      </w:r>
      <w:r>
        <w:rPr>
          <w:rFonts w:hint="default" w:ascii="??_GB2312" w:hAnsi="??_GB2312" w:eastAsia="??_GB2312"/>
          <w:sz w:val="32"/>
          <w:lang w:val="en-US"/>
        </w:rPr>
        <w:t>80%</w:t>
      </w:r>
      <w:r>
        <w:rPr>
          <w:rFonts w:hint="eastAsia" w:ascii="宋体" w:hAnsi="宋体"/>
          <w:sz w:val="32"/>
          <w:lang w:val="zh-CN"/>
        </w:rPr>
        <w:t>及以上。</w:t>
      </w:r>
    </w:p>
    <w:p>
      <w:pPr>
        <w:spacing w:beforeLines="0" w:afterLines="0" w:line="600" w:lineRule="atLeast"/>
        <w:ind w:firstLine="627"/>
        <w:rPr>
          <w:rFonts w:hint="default" w:ascii="??_GB2312" w:hAnsi="??_GB2312" w:eastAsia="??_GB2312"/>
          <w:sz w:val="32"/>
          <w:lang w:val="en-US"/>
        </w:rPr>
      </w:pPr>
      <w:r>
        <w:rPr>
          <w:rFonts w:hint="default" w:ascii="??_GB2312" w:hAnsi="??_GB2312" w:eastAsia="??_GB2312"/>
          <w:sz w:val="32"/>
          <w:lang w:val="en-US"/>
        </w:rPr>
        <w:t>5.</w:t>
      </w:r>
      <w:r>
        <w:rPr>
          <w:rFonts w:hint="eastAsia" w:ascii="宋体" w:hAnsi="宋体"/>
          <w:sz w:val="32"/>
          <w:lang w:val="zh-CN"/>
        </w:rPr>
        <w:t>实施心理健康促进行动。心理健康是健康的重要组成部分。通过心理健康教育、咨询、治疗、危机干预等方式，引导公众科学缓解压力，正确认识和应对常见精神障碍及心理行为问题。健全社会心理服务网络，加强心理健康人才培养。建立精神卫生综合管理机制，完善精神障碍社区康复服务。到</w:t>
      </w:r>
      <w:r>
        <w:rPr>
          <w:rFonts w:hint="default" w:ascii="??_GB2312" w:hAnsi="??_GB2312" w:eastAsia="??_GB2312"/>
          <w:sz w:val="32"/>
          <w:lang w:val="en-US"/>
        </w:rPr>
        <w:t>2022</w:t>
      </w:r>
      <w:r>
        <w:rPr>
          <w:rFonts w:hint="eastAsia" w:ascii="宋体" w:hAnsi="宋体"/>
          <w:sz w:val="32"/>
          <w:lang w:val="zh-CN"/>
        </w:rPr>
        <w:t>年和</w:t>
      </w:r>
      <w:r>
        <w:rPr>
          <w:rFonts w:hint="default" w:ascii="??_GB2312" w:hAnsi="??_GB2312" w:eastAsia="??_GB2312"/>
          <w:sz w:val="32"/>
          <w:lang w:val="en-US"/>
        </w:rPr>
        <w:t>2030</w:t>
      </w:r>
      <w:r>
        <w:rPr>
          <w:rFonts w:hint="eastAsia" w:ascii="宋体" w:hAnsi="宋体"/>
          <w:sz w:val="32"/>
          <w:lang w:val="zh-CN"/>
        </w:rPr>
        <w:t>年，居民心理健康素养水平提升到</w:t>
      </w:r>
      <w:r>
        <w:rPr>
          <w:rFonts w:hint="default" w:ascii="??_GB2312" w:hAnsi="??_GB2312" w:eastAsia="??_GB2312"/>
          <w:sz w:val="32"/>
          <w:lang w:val="en-US"/>
        </w:rPr>
        <w:t>20%</w:t>
      </w:r>
      <w:r>
        <w:rPr>
          <w:rFonts w:hint="eastAsia" w:ascii="宋体" w:hAnsi="宋体"/>
          <w:sz w:val="32"/>
          <w:lang w:val="zh-CN"/>
        </w:rPr>
        <w:t>和</w:t>
      </w:r>
      <w:r>
        <w:rPr>
          <w:rFonts w:hint="default" w:ascii="??_GB2312" w:hAnsi="??_GB2312" w:eastAsia="??_GB2312"/>
          <w:sz w:val="32"/>
          <w:lang w:val="en-US"/>
        </w:rPr>
        <w:t>30%</w:t>
      </w:r>
      <w:r>
        <w:rPr>
          <w:rFonts w:hint="eastAsia" w:ascii="宋体" w:hAnsi="宋体"/>
          <w:sz w:val="32"/>
          <w:lang w:val="zh-CN"/>
        </w:rPr>
        <w:t>，心理相关疾病发生的上升趋势减缓。</w:t>
      </w:r>
    </w:p>
    <w:p>
      <w:pPr>
        <w:spacing w:beforeLines="0" w:afterLines="0" w:line="600" w:lineRule="atLeast"/>
        <w:ind w:firstLine="627"/>
        <w:rPr>
          <w:rFonts w:hint="default" w:ascii="??_GB2312" w:hAnsi="??_GB2312" w:eastAsia="??_GB2312"/>
          <w:sz w:val="32"/>
          <w:lang w:val="en-US"/>
        </w:rPr>
      </w:pPr>
      <w:r>
        <w:rPr>
          <w:rFonts w:hint="default" w:ascii="??_GB2312" w:hAnsi="??_GB2312" w:eastAsia="??_GB2312"/>
          <w:sz w:val="32"/>
          <w:lang w:val="en-US"/>
        </w:rPr>
        <w:t>6.</w:t>
      </w:r>
      <w:r>
        <w:rPr>
          <w:rFonts w:hint="eastAsia" w:ascii="宋体" w:hAnsi="宋体"/>
          <w:sz w:val="32"/>
          <w:lang w:val="zh-CN"/>
        </w:rPr>
        <w:t>实施健康环境促进行动。良好的环境是健康的保障。向公众、家庭、单位（企业）普及环境与健康相关的防护和应对知识。推进大气、水、土壤污染防治。推进健康城市、健康村镇建设。建立环境与健康的调查、监测和风险评估制度。采取有效措施预防控制环境污染相关疾病、道路交通伤害、消费品质量安全事故等。到</w:t>
      </w:r>
      <w:r>
        <w:rPr>
          <w:rFonts w:hint="default" w:ascii="??_GB2312" w:hAnsi="??_GB2312" w:eastAsia="??_GB2312"/>
          <w:sz w:val="32"/>
          <w:lang w:val="en-US"/>
        </w:rPr>
        <w:t>2022</w:t>
      </w:r>
      <w:r>
        <w:rPr>
          <w:rFonts w:hint="eastAsia" w:ascii="宋体" w:hAnsi="宋体"/>
          <w:sz w:val="32"/>
          <w:lang w:val="zh-CN"/>
        </w:rPr>
        <w:t>年和</w:t>
      </w:r>
      <w:r>
        <w:rPr>
          <w:rFonts w:hint="default" w:ascii="??_GB2312" w:hAnsi="??_GB2312" w:eastAsia="??_GB2312"/>
          <w:sz w:val="32"/>
          <w:lang w:val="en-US"/>
        </w:rPr>
        <w:t>2030</w:t>
      </w:r>
      <w:r>
        <w:rPr>
          <w:rFonts w:hint="eastAsia" w:ascii="宋体" w:hAnsi="宋体"/>
          <w:sz w:val="32"/>
          <w:lang w:val="zh-CN"/>
        </w:rPr>
        <w:t>年，居民饮用水水质达标情况明显改善，并持续改善。</w:t>
      </w:r>
    </w:p>
    <w:p>
      <w:pPr>
        <w:spacing w:beforeLines="0" w:afterLines="0" w:line="600" w:lineRule="atLeast"/>
        <w:ind w:firstLine="643"/>
        <w:rPr>
          <w:rFonts w:hint="default" w:ascii="??_GB2312" w:hAnsi="??_GB2312" w:eastAsia="??_GB2312"/>
          <w:b/>
          <w:sz w:val="32"/>
          <w:lang w:val="en-US"/>
        </w:rPr>
      </w:pPr>
      <w:r>
        <w:rPr>
          <w:rFonts w:hint="eastAsia" w:ascii="宋体" w:hAnsi="宋体"/>
          <w:b/>
          <w:sz w:val="32"/>
          <w:lang w:val="zh-CN"/>
        </w:rPr>
        <w:t>（二）维护全生命周期健康。</w:t>
      </w:r>
    </w:p>
    <w:p>
      <w:pPr>
        <w:spacing w:beforeLines="0" w:afterLines="0" w:line="600" w:lineRule="atLeast"/>
        <w:ind w:firstLine="640"/>
        <w:rPr>
          <w:rFonts w:hint="default" w:ascii="??_GB2312" w:hAnsi="??_GB2312" w:eastAsia="??_GB2312"/>
          <w:sz w:val="32"/>
          <w:lang w:val="en-US"/>
        </w:rPr>
      </w:pPr>
      <w:r>
        <w:rPr>
          <w:rFonts w:hint="default" w:ascii="??_GB2312" w:hAnsi="??_GB2312" w:eastAsia="??_GB2312"/>
          <w:sz w:val="32"/>
          <w:lang w:val="en-US"/>
        </w:rPr>
        <w:t>7.</w:t>
      </w:r>
      <w:r>
        <w:rPr>
          <w:rFonts w:hint="eastAsia" w:ascii="宋体" w:hAnsi="宋体"/>
          <w:sz w:val="32"/>
          <w:lang w:val="zh-CN"/>
        </w:rPr>
        <w:t>实施妇幼健康促进行动。孕产期和婴幼儿时期是生命的起点。针对婚前、孕前、孕期、儿童等阶段特点，积极引导家庭科学孕育和养育健康新生命，健全出生缺陷防治体系。加强儿童早期发展服务，完善婴幼儿照护服务和残疾儿童康复救助制度。促进生殖健康，推进农村妇女宫颈癌和乳腺癌检查。到</w:t>
      </w:r>
      <w:r>
        <w:rPr>
          <w:rFonts w:hint="default" w:ascii="??_GB2312" w:hAnsi="??_GB2312" w:eastAsia="??_GB2312"/>
          <w:sz w:val="32"/>
          <w:lang w:val="en-US"/>
        </w:rPr>
        <w:t>2022</w:t>
      </w:r>
      <w:r>
        <w:rPr>
          <w:rFonts w:hint="eastAsia" w:ascii="宋体" w:hAnsi="宋体"/>
          <w:sz w:val="32"/>
          <w:lang w:val="zh-CN"/>
        </w:rPr>
        <w:t>年和</w:t>
      </w:r>
      <w:r>
        <w:rPr>
          <w:rFonts w:hint="default" w:ascii="??_GB2312" w:hAnsi="??_GB2312" w:eastAsia="??_GB2312"/>
          <w:sz w:val="32"/>
          <w:lang w:val="en-US"/>
        </w:rPr>
        <w:t>2030</w:t>
      </w:r>
      <w:r>
        <w:rPr>
          <w:rFonts w:hint="eastAsia" w:ascii="宋体" w:hAnsi="宋体"/>
          <w:sz w:val="32"/>
          <w:lang w:val="zh-CN"/>
        </w:rPr>
        <w:t>年，婴儿死亡率分别控制在</w:t>
      </w:r>
      <w:r>
        <w:rPr>
          <w:rFonts w:hint="default" w:ascii="??_GB2312" w:hAnsi="??_GB2312" w:eastAsia="??_GB2312"/>
          <w:sz w:val="32"/>
          <w:lang w:val="en-US"/>
        </w:rPr>
        <w:t>7.5</w:t>
      </w:r>
      <w:r>
        <w:rPr>
          <w:rFonts w:hint="eastAsia" w:ascii="宋体" w:hAnsi="宋体"/>
          <w:sz w:val="32"/>
          <w:lang w:val="zh-CN"/>
        </w:rPr>
        <w:t>‰及以下和</w:t>
      </w:r>
      <w:r>
        <w:rPr>
          <w:rFonts w:hint="default" w:ascii="??_GB2312" w:hAnsi="??_GB2312" w:eastAsia="??_GB2312"/>
          <w:sz w:val="32"/>
          <w:lang w:val="en-US"/>
        </w:rPr>
        <w:t>5</w:t>
      </w:r>
      <w:r>
        <w:rPr>
          <w:rFonts w:hint="eastAsia" w:ascii="宋体" w:hAnsi="宋体"/>
          <w:sz w:val="32"/>
          <w:lang w:val="zh-CN"/>
        </w:rPr>
        <w:t>‰及以下，孕产妇死亡率分别下降到</w:t>
      </w:r>
      <w:r>
        <w:rPr>
          <w:rFonts w:hint="default" w:ascii="??_GB2312" w:hAnsi="??_GB2312" w:eastAsia="??_GB2312"/>
          <w:sz w:val="32"/>
          <w:lang w:val="en-US"/>
        </w:rPr>
        <w:t>18/10</w:t>
      </w:r>
      <w:r>
        <w:rPr>
          <w:rFonts w:hint="eastAsia" w:ascii="宋体" w:hAnsi="宋体"/>
          <w:sz w:val="32"/>
          <w:lang w:val="zh-CN"/>
        </w:rPr>
        <w:t>万及以下和</w:t>
      </w:r>
      <w:r>
        <w:rPr>
          <w:rFonts w:hint="default" w:ascii="??_GB2312" w:hAnsi="??_GB2312" w:eastAsia="??_GB2312"/>
          <w:sz w:val="32"/>
          <w:lang w:val="en-US"/>
        </w:rPr>
        <w:t>12/10</w:t>
      </w:r>
      <w:r>
        <w:rPr>
          <w:rFonts w:hint="eastAsia" w:ascii="宋体" w:hAnsi="宋体"/>
          <w:sz w:val="32"/>
          <w:lang w:val="zh-CN"/>
        </w:rPr>
        <w:t>万及以下。</w:t>
      </w:r>
    </w:p>
    <w:p>
      <w:pPr>
        <w:spacing w:beforeLines="0" w:afterLines="0" w:line="600" w:lineRule="atLeast"/>
        <w:ind w:firstLine="640"/>
        <w:rPr>
          <w:rFonts w:hint="default" w:ascii="??_GB2312" w:hAnsi="??_GB2312" w:eastAsia="??_GB2312"/>
          <w:sz w:val="32"/>
          <w:lang w:val="en-US"/>
        </w:rPr>
      </w:pPr>
      <w:r>
        <w:rPr>
          <w:rFonts w:hint="default" w:ascii="??_GB2312" w:hAnsi="??_GB2312" w:eastAsia="??_GB2312"/>
          <w:sz w:val="32"/>
          <w:lang w:val="en-US"/>
        </w:rPr>
        <w:t>8.</w:t>
      </w:r>
      <w:r>
        <w:rPr>
          <w:rFonts w:hint="eastAsia" w:ascii="宋体" w:hAnsi="宋体"/>
          <w:sz w:val="32"/>
          <w:lang w:val="zh-CN"/>
        </w:rPr>
        <w:t>实施中小学健康促进行动。中小学生处于成长发育的关键阶段。动员家庭、学校和社会共同维护中小学生身心健康。引导学生从小养成健康生活习惯，锻炼健康体魄，预防近视、肥胖等疾病。中小学校按规定开齐开足体育与健康课程。把学生体质健康状况纳入对学校的绩效考核，结合学生年龄特点，以多种方式对学生健康知识进行考试考查，将体育纳入高中学业水平测试。到</w:t>
      </w:r>
      <w:r>
        <w:rPr>
          <w:rFonts w:hint="default" w:ascii="??_GB2312" w:hAnsi="??_GB2312" w:eastAsia="??_GB2312"/>
          <w:sz w:val="32"/>
          <w:lang w:val="en-US"/>
        </w:rPr>
        <w:t>2022</w:t>
      </w:r>
      <w:r>
        <w:rPr>
          <w:rFonts w:hint="eastAsia" w:ascii="宋体" w:hAnsi="宋体"/>
          <w:sz w:val="32"/>
          <w:lang w:val="zh-CN"/>
        </w:rPr>
        <w:t>年和</w:t>
      </w:r>
      <w:r>
        <w:rPr>
          <w:rFonts w:hint="default" w:ascii="??_GB2312" w:hAnsi="??_GB2312" w:eastAsia="??_GB2312"/>
          <w:sz w:val="32"/>
          <w:lang w:val="en-US"/>
        </w:rPr>
        <w:t>2030</w:t>
      </w:r>
      <w:r>
        <w:rPr>
          <w:rFonts w:hint="eastAsia" w:ascii="宋体" w:hAnsi="宋体"/>
          <w:sz w:val="32"/>
          <w:lang w:val="zh-CN"/>
        </w:rPr>
        <w:t>年，国家学生体质健康标准优良率分别达到</w:t>
      </w:r>
      <w:r>
        <w:rPr>
          <w:rFonts w:hint="default" w:ascii="??_GB2312" w:hAnsi="??_GB2312" w:eastAsia="??_GB2312"/>
          <w:sz w:val="32"/>
          <w:lang w:val="en-US"/>
        </w:rPr>
        <w:t>50%</w:t>
      </w:r>
      <w:r>
        <w:rPr>
          <w:rFonts w:hint="eastAsia" w:ascii="宋体" w:hAnsi="宋体"/>
          <w:sz w:val="32"/>
          <w:lang w:val="zh-CN"/>
        </w:rPr>
        <w:t>及以上和</w:t>
      </w:r>
      <w:r>
        <w:rPr>
          <w:rFonts w:hint="default" w:ascii="??_GB2312" w:hAnsi="??_GB2312" w:eastAsia="??_GB2312"/>
          <w:sz w:val="32"/>
          <w:lang w:val="en-US"/>
        </w:rPr>
        <w:t>60</w:t>
      </w:r>
      <w:r>
        <w:rPr>
          <w:rFonts w:hint="eastAsia" w:ascii="宋体" w:hAnsi="宋体"/>
          <w:sz w:val="32"/>
          <w:lang w:val="zh-CN"/>
        </w:rPr>
        <w:t>％及以上，全国儿童青少年总体近视率力争每年降低</w:t>
      </w:r>
      <w:r>
        <w:rPr>
          <w:rFonts w:hint="default" w:ascii="??_GB2312" w:hAnsi="??_GB2312" w:eastAsia="??_GB2312"/>
          <w:sz w:val="32"/>
          <w:lang w:val="en-US"/>
        </w:rPr>
        <w:t>0.5</w:t>
      </w:r>
      <w:r>
        <w:rPr>
          <w:rFonts w:hint="eastAsia" w:ascii="宋体" w:hAnsi="宋体"/>
          <w:sz w:val="32"/>
          <w:lang w:val="zh-CN"/>
        </w:rPr>
        <w:t>个百分点以上，新发近视率明显下降。</w:t>
      </w:r>
    </w:p>
    <w:p>
      <w:pPr>
        <w:spacing w:beforeLines="0" w:afterLines="0" w:line="600" w:lineRule="atLeast"/>
        <w:ind w:firstLine="640"/>
        <w:rPr>
          <w:rFonts w:hint="default" w:ascii="??_GB2312" w:hAnsi="??_GB2312" w:eastAsia="??_GB2312"/>
          <w:sz w:val="32"/>
          <w:lang w:val="en-US"/>
        </w:rPr>
      </w:pPr>
      <w:r>
        <w:rPr>
          <w:rFonts w:hint="default" w:ascii="??_GB2312" w:hAnsi="??_GB2312" w:eastAsia="??_GB2312"/>
          <w:sz w:val="32"/>
          <w:lang w:val="en-US"/>
        </w:rPr>
        <w:t>9.</w:t>
      </w:r>
      <w:r>
        <w:rPr>
          <w:rFonts w:hint="eastAsia" w:ascii="宋体" w:hAnsi="宋体"/>
          <w:sz w:val="32"/>
          <w:lang w:val="zh-CN"/>
        </w:rPr>
        <w:t>实施职业健康保护行动。劳动者依法享有职业健康保护的权利。针对不同职业人群，倡导健康工作方式，落实用人单位主体责任和政府监管责任，预防和控制职业病危害。完善职业病防治法规标准体系。鼓励用人单位开展职工健康管理。加强尘肺病等职业病救治保障。到</w:t>
      </w:r>
      <w:r>
        <w:rPr>
          <w:rFonts w:hint="default" w:ascii="??_GB2312" w:hAnsi="??_GB2312" w:eastAsia="??_GB2312"/>
          <w:sz w:val="32"/>
          <w:lang w:val="en-US"/>
        </w:rPr>
        <w:t>2022</w:t>
      </w:r>
      <w:r>
        <w:rPr>
          <w:rFonts w:hint="eastAsia" w:ascii="宋体" w:hAnsi="宋体"/>
          <w:sz w:val="32"/>
          <w:lang w:val="zh-CN"/>
        </w:rPr>
        <w:t>年和</w:t>
      </w:r>
      <w:r>
        <w:rPr>
          <w:rFonts w:hint="default" w:ascii="??_GB2312" w:hAnsi="??_GB2312" w:eastAsia="??_GB2312"/>
          <w:sz w:val="32"/>
          <w:lang w:val="en-US"/>
        </w:rPr>
        <w:t>2030</w:t>
      </w:r>
      <w:r>
        <w:rPr>
          <w:rFonts w:hint="eastAsia" w:ascii="宋体" w:hAnsi="宋体"/>
          <w:sz w:val="32"/>
          <w:lang w:val="zh-CN"/>
        </w:rPr>
        <w:t>年，接尘工龄不足</w:t>
      </w:r>
      <w:r>
        <w:rPr>
          <w:rFonts w:hint="default" w:ascii="??_GB2312" w:hAnsi="??_GB2312" w:eastAsia="??_GB2312"/>
          <w:sz w:val="32"/>
          <w:lang w:val="en-US"/>
        </w:rPr>
        <w:t>5</w:t>
      </w:r>
      <w:r>
        <w:rPr>
          <w:rFonts w:hint="eastAsia" w:ascii="宋体" w:hAnsi="宋体"/>
          <w:sz w:val="32"/>
          <w:lang w:val="zh-CN"/>
        </w:rPr>
        <w:t>年的劳动者新发尘肺病报告例数占年度报告总例数的比例实现明显下降，并持续下降。</w:t>
      </w:r>
    </w:p>
    <w:p>
      <w:pPr>
        <w:spacing w:beforeLines="0" w:afterLines="0" w:line="600" w:lineRule="atLeast"/>
        <w:ind w:firstLine="640"/>
        <w:rPr>
          <w:rFonts w:hint="default" w:ascii="??_GB2312" w:hAnsi="??_GB2312" w:eastAsia="??_GB2312"/>
          <w:sz w:val="32"/>
          <w:lang w:val="en-US"/>
        </w:rPr>
      </w:pPr>
      <w:r>
        <w:rPr>
          <w:rFonts w:hint="default" w:ascii="??_GB2312" w:hAnsi="??_GB2312" w:eastAsia="??_GB2312"/>
          <w:sz w:val="32"/>
          <w:lang w:val="en-US"/>
        </w:rPr>
        <w:t>10.</w:t>
      </w:r>
      <w:r>
        <w:rPr>
          <w:rFonts w:hint="eastAsia" w:ascii="宋体" w:hAnsi="宋体"/>
          <w:sz w:val="32"/>
          <w:lang w:val="zh-CN"/>
        </w:rPr>
        <w:t>实施老年健康促进行动。老年人健康快乐是社会文明进步的显著标志。面向老年人普及膳食营养、体育锻炼、定期体检、健康管理、心理健康以及合理用药等知识。健全老年健康服务体系，完善居家和社区养老政策，推进医养结合，探索长期护理保险制度，打造老年宜居环境，实现健康老龄化。到</w:t>
      </w:r>
      <w:r>
        <w:rPr>
          <w:rFonts w:hint="default" w:ascii="??_GB2312" w:hAnsi="??_GB2312" w:eastAsia="??_GB2312"/>
          <w:sz w:val="32"/>
          <w:lang w:val="en-US"/>
        </w:rPr>
        <w:t>2022</w:t>
      </w:r>
      <w:r>
        <w:rPr>
          <w:rFonts w:hint="eastAsia" w:ascii="宋体" w:hAnsi="宋体"/>
          <w:sz w:val="32"/>
          <w:lang w:val="zh-CN"/>
        </w:rPr>
        <w:t>年和</w:t>
      </w:r>
      <w:r>
        <w:rPr>
          <w:rFonts w:hint="default" w:ascii="??_GB2312" w:hAnsi="??_GB2312" w:eastAsia="??_GB2312"/>
          <w:sz w:val="32"/>
          <w:lang w:val="en-US"/>
        </w:rPr>
        <w:t>2030</w:t>
      </w:r>
      <w:r>
        <w:rPr>
          <w:rFonts w:hint="eastAsia" w:ascii="宋体" w:hAnsi="宋体"/>
          <w:sz w:val="32"/>
          <w:lang w:val="zh-CN"/>
        </w:rPr>
        <w:t>年，</w:t>
      </w:r>
      <w:r>
        <w:rPr>
          <w:rFonts w:hint="default" w:ascii="??_GB2312" w:hAnsi="??_GB2312" w:eastAsia="??_GB2312"/>
          <w:sz w:val="32"/>
          <w:lang w:val="en-US"/>
        </w:rPr>
        <w:t>65</w:t>
      </w:r>
      <w:r>
        <w:rPr>
          <w:rFonts w:hint="eastAsia" w:ascii="宋体" w:hAnsi="宋体"/>
          <w:sz w:val="32"/>
          <w:lang w:val="zh-CN"/>
        </w:rPr>
        <w:t>至</w:t>
      </w:r>
      <w:r>
        <w:rPr>
          <w:rFonts w:hint="default" w:ascii="??_GB2312" w:hAnsi="??_GB2312" w:eastAsia="??_GB2312"/>
          <w:sz w:val="32"/>
          <w:lang w:val="en-US"/>
        </w:rPr>
        <w:t>74</w:t>
      </w:r>
      <w:r>
        <w:rPr>
          <w:rFonts w:hint="eastAsia" w:ascii="宋体" w:hAnsi="宋体"/>
          <w:sz w:val="32"/>
          <w:lang w:val="zh-CN"/>
        </w:rPr>
        <w:t>岁老年人失能发生率有所下降，</w:t>
      </w:r>
      <w:r>
        <w:rPr>
          <w:rFonts w:hint="default" w:ascii="??_GB2312" w:hAnsi="??_GB2312" w:eastAsia="??_GB2312"/>
          <w:sz w:val="32"/>
          <w:lang w:val="en-US"/>
        </w:rPr>
        <w:t>65</w:t>
      </w:r>
      <w:r>
        <w:rPr>
          <w:rFonts w:hint="eastAsia" w:ascii="宋体" w:hAnsi="宋体"/>
          <w:sz w:val="32"/>
          <w:lang w:val="zh-CN"/>
        </w:rPr>
        <w:t>岁及以上人群老年期痴呆患病率增速下降。</w:t>
      </w:r>
    </w:p>
    <w:p>
      <w:pPr>
        <w:spacing w:beforeLines="0" w:afterLines="0" w:line="600" w:lineRule="atLeast"/>
        <w:ind w:firstLine="643"/>
        <w:rPr>
          <w:rFonts w:hint="default" w:ascii="??_GB2312" w:hAnsi="??_GB2312" w:eastAsia="??_GB2312"/>
          <w:b/>
          <w:sz w:val="32"/>
          <w:lang w:val="en-US"/>
        </w:rPr>
      </w:pPr>
      <w:r>
        <w:rPr>
          <w:rFonts w:hint="eastAsia" w:ascii="宋体" w:hAnsi="宋体"/>
          <w:b/>
          <w:sz w:val="32"/>
          <w:lang w:val="zh-CN"/>
        </w:rPr>
        <w:t>（三）防控重大疾病。</w:t>
      </w:r>
    </w:p>
    <w:p>
      <w:pPr>
        <w:spacing w:beforeLines="0" w:afterLines="0" w:line="600" w:lineRule="atLeast"/>
        <w:ind w:firstLine="640"/>
        <w:rPr>
          <w:rFonts w:hint="default" w:ascii="??_GB2312" w:hAnsi="??_GB2312" w:eastAsia="??_GB2312"/>
          <w:sz w:val="32"/>
          <w:lang w:val="en-US"/>
        </w:rPr>
      </w:pPr>
      <w:r>
        <w:rPr>
          <w:rFonts w:hint="default" w:ascii="??_GB2312" w:hAnsi="??_GB2312" w:eastAsia="??_GB2312"/>
          <w:sz w:val="32"/>
          <w:lang w:val="en-US"/>
        </w:rPr>
        <w:t>11.</w:t>
      </w:r>
      <w:r>
        <w:rPr>
          <w:rFonts w:hint="eastAsia" w:ascii="宋体" w:hAnsi="宋体"/>
          <w:sz w:val="32"/>
          <w:lang w:val="zh-CN"/>
        </w:rPr>
        <w:t>实施心脑血管疾病防治行动。心脑血管疾病是我国居民第一位死亡原因。引导居民学习掌握心肺复苏等自救互救知识技能。对高危人群和患者开展生活方式指导。全面实施</w:t>
      </w:r>
      <w:r>
        <w:rPr>
          <w:rFonts w:hint="default" w:ascii="??_GB2312" w:hAnsi="??_GB2312" w:eastAsia="??_GB2312"/>
          <w:sz w:val="32"/>
          <w:lang w:val="en-US"/>
        </w:rPr>
        <w:t>35</w:t>
      </w:r>
      <w:r>
        <w:rPr>
          <w:rFonts w:hint="eastAsia" w:ascii="宋体" w:hAnsi="宋体"/>
          <w:sz w:val="32"/>
          <w:lang w:val="zh-CN"/>
        </w:rPr>
        <w:t>岁以上人群首诊测血压制度，加强高血压、高血糖、血脂异常的规范化管理。提高院前急救、静脉溶栓、动脉取栓等应急处置能力。到</w:t>
      </w:r>
      <w:r>
        <w:rPr>
          <w:rFonts w:hint="default" w:ascii="??_GB2312" w:hAnsi="??_GB2312" w:eastAsia="??_GB2312"/>
          <w:sz w:val="32"/>
          <w:lang w:val="en-US"/>
        </w:rPr>
        <w:t>2022</w:t>
      </w:r>
      <w:r>
        <w:rPr>
          <w:rFonts w:hint="eastAsia" w:ascii="宋体" w:hAnsi="宋体"/>
          <w:sz w:val="32"/>
          <w:lang w:val="zh-CN"/>
        </w:rPr>
        <w:t>年和</w:t>
      </w:r>
      <w:r>
        <w:rPr>
          <w:rFonts w:hint="default" w:ascii="??_GB2312" w:hAnsi="??_GB2312" w:eastAsia="??_GB2312"/>
          <w:sz w:val="32"/>
          <w:lang w:val="en-US"/>
        </w:rPr>
        <w:t>2030</w:t>
      </w:r>
      <w:r>
        <w:rPr>
          <w:rFonts w:hint="eastAsia" w:ascii="宋体" w:hAnsi="宋体"/>
          <w:sz w:val="32"/>
          <w:lang w:val="zh-CN"/>
        </w:rPr>
        <w:t>年，心脑血管疾病死亡率分别下降到</w:t>
      </w:r>
      <w:r>
        <w:rPr>
          <w:rFonts w:hint="default" w:ascii="??_GB2312" w:hAnsi="??_GB2312" w:eastAsia="??_GB2312"/>
          <w:sz w:val="32"/>
          <w:lang w:val="en-US"/>
        </w:rPr>
        <w:t>209.7/10</w:t>
      </w:r>
      <w:r>
        <w:rPr>
          <w:rFonts w:hint="eastAsia" w:ascii="宋体" w:hAnsi="宋体"/>
          <w:sz w:val="32"/>
          <w:lang w:val="zh-CN"/>
        </w:rPr>
        <w:t>万及以下和</w:t>
      </w:r>
      <w:r>
        <w:rPr>
          <w:rFonts w:hint="default" w:ascii="??_GB2312" w:hAnsi="??_GB2312" w:eastAsia="??_GB2312"/>
          <w:sz w:val="32"/>
          <w:lang w:val="en-US"/>
        </w:rPr>
        <w:t>190.7/10</w:t>
      </w:r>
      <w:r>
        <w:rPr>
          <w:rFonts w:hint="eastAsia" w:ascii="宋体" w:hAnsi="宋体"/>
          <w:sz w:val="32"/>
          <w:lang w:val="zh-CN"/>
        </w:rPr>
        <w:t>万及以下。</w:t>
      </w:r>
    </w:p>
    <w:p>
      <w:pPr>
        <w:spacing w:beforeLines="0" w:afterLines="0" w:line="600" w:lineRule="atLeast"/>
        <w:ind w:firstLine="640"/>
        <w:rPr>
          <w:rFonts w:hint="default" w:ascii="??_GB2312" w:hAnsi="??_GB2312" w:eastAsia="??_GB2312"/>
          <w:sz w:val="32"/>
          <w:lang w:val="en-US"/>
        </w:rPr>
      </w:pPr>
      <w:r>
        <w:rPr>
          <w:rFonts w:hint="default" w:ascii="??_GB2312" w:hAnsi="??_GB2312" w:eastAsia="??_GB2312"/>
          <w:sz w:val="32"/>
          <w:lang w:val="en-US"/>
        </w:rPr>
        <w:t>12.</w:t>
      </w:r>
      <w:r>
        <w:rPr>
          <w:rFonts w:hint="eastAsia" w:ascii="宋体" w:hAnsi="宋体"/>
          <w:sz w:val="32"/>
          <w:lang w:val="zh-CN"/>
        </w:rPr>
        <w:t>实施癌症防治行动。癌症严重影响人民健康。倡导积极预防癌症，推进早筛查、早诊断、早治疗，降低癌症发病率和死亡率，提高患者生存质量。有序扩大癌症筛查范围。推广应用常见癌症诊疗规范。提升中西部地区及基层癌症诊疗能力。加强癌症防治科技攻关。加快临床急需药物审评审批。到</w:t>
      </w:r>
      <w:r>
        <w:rPr>
          <w:rFonts w:hint="default" w:ascii="??_GB2312" w:hAnsi="??_GB2312" w:eastAsia="??_GB2312"/>
          <w:sz w:val="32"/>
          <w:lang w:val="en-US"/>
        </w:rPr>
        <w:t>2022</w:t>
      </w:r>
      <w:r>
        <w:rPr>
          <w:rFonts w:hint="eastAsia" w:ascii="宋体" w:hAnsi="宋体"/>
          <w:sz w:val="32"/>
          <w:lang w:val="zh-CN"/>
        </w:rPr>
        <w:t>年和</w:t>
      </w:r>
      <w:r>
        <w:rPr>
          <w:rFonts w:hint="default" w:ascii="??_GB2312" w:hAnsi="??_GB2312" w:eastAsia="??_GB2312"/>
          <w:sz w:val="32"/>
          <w:lang w:val="en-US"/>
        </w:rPr>
        <w:t>2030</w:t>
      </w:r>
      <w:r>
        <w:rPr>
          <w:rFonts w:hint="eastAsia" w:ascii="宋体" w:hAnsi="宋体"/>
          <w:sz w:val="32"/>
          <w:lang w:val="zh-CN"/>
        </w:rPr>
        <w:t>年，总体癌症</w:t>
      </w:r>
      <w:r>
        <w:rPr>
          <w:rFonts w:hint="default" w:ascii="??_GB2312" w:hAnsi="??_GB2312" w:eastAsia="??_GB2312"/>
          <w:sz w:val="32"/>
          <w:lang w:val="en-US"/>
        </w:rPr>
        <w:t>5</w:t>
      </w:r>
      <w:r>
        <w:rPr>
          <w:rFonts w:hint="eastAsia" w:ascii="宋体" w:hAnsi="宋体"/>
          <w:sz w:val="32"/>
          <w:lang w:val="zh-CN"/>
        </w:rPr>
        <w:t>年生存率分别不低于</w:t>
      </w:r>
      <w:r>
        <w:rPr>
          <w:rFonts w:hint="default" w:ascii="??_GB2312" w:hAnsi="??_GB2312" w:eastAsia="??_GB2312"/>
          <w:sz w:val="32"/>
          <w:lang w:val="en-US"/>
        </w:rPr>
        <w:t>43.3%</w:t>
      </w:r>
      <w:r>
        <w:rPr>
          <w:rFonts w:hint="eastAsia" w:ascii="宋体" w:hAnsi="宋体"/>
          <w:sz w:val="32"/>
          <w:lang w:val="zh-CN"/>
        </w:rPr>
        <w:t>和</w:t>
      </w:r>
      <w:r>
        <w:rPr>
          <w:rFonts w:hint="default" w:ascii="??_GB2312" w:hAnsi="??_GB2312" w:eastAsia="??_GB2312"/>
          <w:sz w:val="32"/>
          <w:lang w:val="en-US"/>
        </w:rPr>
        <w:t>46.6%</w:t>
      </w:r>
      <w:r>
        <w:rPr>
          <w:rFonts w:hint="eastAsia" w:ascii="宋体" w:hAnsi="宋体"/>
          <w:sz w:val="32"/>
          <w:lang w:val="zh-CN"/>
        </w:rPr>
        <w:t>。</w:t>
      </w:r>
    </w:p>
    <w:p>
      <w:pPr>
        <w:spacing w:beforeLines="0" w:afterLines="0" w:line="600" w:lineRule="atLeast"/>
        <w:ind w:firstLine="640"/>
        <w:rPr>
          <w:rFonts w:hint="default" w:ascii="??_GB2312" w:hAnsi="??_GB2312" w:eastAsia="??_GB2312"/>
          <w:sz w:val="32"/>
          <w:lang w:val="en-US"/>
        </w:rPr>
      </w:pPr>
      <w:r>
        <w:rPr>
          <w:rFonts w:hint="default" w:ascii="??_GB2312" w:hAnsi="??_GB2312" w:eastAsia="??_GB2312"/>
          <w:sz w:val="32"/>
          <w:lang w:val="en-US"/>
        </w:rPr>
        <w:t>13.</w:t>
      </w:r>
      <w:r>
        <w:rPr>
          <w:rFonts w:hint="eastAsia" w:ascii="宋体" w:hAnsi="宋体"/>
          <w:sz w:val="32"/>
          <w:lang w:val="zh-CN"/>
        </w:rPr>
        <w:t>实施慢性呼吸系统疾病防治行动。慢性呼吸系统疾病严重影响患者生活质量。引导重点人群早期发现疾病，控制危险因素，预防疾病发生发展。探索高危人群首诊测量肺功能、</w:t>
      </w:r>
      <w:r>
        <w:rPr>
          <w:rFonts w:hint="default" w:ascii="??_GB2312" w:hAnsi="??_GB2312" w:eastAsia="??_GB2312"/>
          <w:sz w:val="32"/>
          <w:lang w:val="en-US"/>
        </w:rPr>
        <w:t>40</w:t>
      </w:r>
      <w:r>
        <w:rPr>
          <w:rFonts w:hint="eastAsia" w:ascii="宋体" w:hAnsi="宋体"/>
          <w:sz w:val="32"/>
          <w:lang w:val="zh-CN"/>
        </w:rPr>
        <w:t>岁及以上人群体检检测肺功能。加强慢阻肺患者健康管理，提高基层医疗卫生机构肺功能检查能力。到</w:t>
      </w:r>
      <w:r>
        <w:rPr>
          <w:rFonts w:hint="default" w:ascii="??_GB2312" w:hAnsi="??_GB2312" w:eastAsia="??_GB2312"/>
          <w:sz w:val="32"/>
          <w:lang w:val="en-US"/>
        </w:rPr>
        <w:t>2022</w:t>
      </w:r>
      <w:r>
        <w:rPr>
          <w:rFonts w:hint="eastAsia" w:ascii="宋体" w:hAnsi="宋体"/>
          <w:sz w:val="32"/>
          <w:lang w:val="zh-CN"/>
        </w:rPr>
        <w:t>年和</w:t>
      </w:r>
      <w:r>
        <w:rPr>
          <w:rFonts w:hint="default" w:ascii="??_GB2312" w:hAnsi="??_GB2312" w:eastAsia="??_GB2312"/>
          <w:sz w:val="32"/>
          <w:lang w:val="en-US"/>
        </w:rPr>
        <w:t>2030</w:t>
      </w:r>
      <w:r>
        <w:rPr>
          <w:rFonts w:hint="eastAsia" w:ascii="宋体" w:hAnsi="宋体"/>
          <w:sz w:val="32"/>
          <w:lang w:val="zh-CN"/>
        </w:rPr>
        <w:t>年，</w:t>
      </w:r>
      <w:r>
        <w:rPr>
          <w:rFonts w:hint="default" w:ascii="??_GB2312" w:hAnsi="??_GB2312" w:eastAsia="??_GB2312"/>
          <w:sz w:val="32"/>
          <w:lang w:val="en-US"/>
        </w:rPr>
        <w:t>70</w:t>
      </w:r>
      <w:r>
        <w:rPr>
          <w:rFonts w:hint="eastAsia" w:ascii="宋体" w:hAnsi="宋体"/>
          <w:sz w:val="32"/>
          <w:lang w:val="zh-CN"/>
        </w:rPr>
        <w:t>岁及以下人群慢性呼吸系统疾病死亡率下降到</w:t>
      </w:r>
      <w:r>
        <w:rPr>
          <w:rFonts w:hint="default" w:ascii="??_GB2312" w:hAnsi="??_GB2312" w:eastAsia="??_GB2312"/>
          <w:sz w:val="32"/>
          <w:lang w:val="en-US"/>
        </w:rPr>
        <w:t>9/10</w:t>
      </w:r>
      <w:r>
        <w:rPr>
          <w:rFonts w:hint="eastAsia" w:ascii="宋体" w:hAnsi="宋体"/>
          <w:sz w:val="32"/>
          <w:lang w:val="zh-CN"/>
        </w:rPr>
        <w:t>万及以下和</w:t>
      </w:r>
      <w:r>
        <w:rPr>
          <w:rFonts w:hint="default" w:ascii="??_GB2312" w:hAnsi="??_GB2312" w:eastAsia="??_GB2312"/>
          <w:sz w:val="32"/>
          <w:lang w:val="en-US"/>
        </w:rPr>
        <w:t>8.1/10</w:t>
      </w:r>
      <w:r>
        <w:rPr>
          <w:rFonts w:hint="eastAsia" w:ascii="宋体" w:hAnsi="宋体"/>
          <w:sz w:val="32"/>
          <w:lang w:val="zh-CN"/>
        </w:rPr>
        <w:t>万及以下。</w:t>
      </w:r>
    </w:p>
    <w:p>
      <w:pPr>
        <w:spacing w:beforeLines="0" w:afterLines="0" w:line="600" w:lineRule="atLeast"/>
        <w:ind w:firstLine="640"/>
        <w:rPr>
          <w:rFonts w:hint="default" w:ascii="??_GB2312" w:hAnsi="??_GB2312" w:eastAsia="??_GB2312"/>
          <w:sz w:val="32"/>
          <w:lang w:val="en-US"/>
        </w:rPr>
      </w:pPr>
      <w:r>
        <w:rPr>
          <w:rFonts w:hint="default" w:ascii="??_GB2312" w:hAnsi="??_GB2312" w:eastAsia="??_GB2312"/>
          <w:sz w:val="32"/>
          <w:lang w:val="en-US"/>
        </w:rPr>
        <w:t>14.</w:t>
      </w:r>
      <w:r>
        <w:rPr>
          <w:rFonts w:hint="eastAsia" w:ascii="宋体" w:hAnsi="宋体"/>
          <w:sz w:val="32"/>
          <w:lang w:val="zh-CN"/>
        </w:rPr>
        <w:t>实施糖尿病防治行动。我国是糖尿病患病率增长最快的国家之一。提示居民关注血糖水平，引导糖尿病前期人群科学降低发病风险，指导糖尿病患者加强健康管理，延迟或预防糖尿病的发生发展。加强对糖尿病患者和高危人群的健康管理，促进基层糖尿病及并发症筛查标准化和诊疗规范化。到</w:t>
      </w:r>
      <w:r>
        <w:rPr>
          <w:rFonts w:hint="default" w:ascii="??_GB2312" w:hAnsi="??_GB2312" w:eastAsia="??_GB2312"/>
          <w:sz w:val="32"/>
          <w:lang w:val="en-US"/>
        </w:rPr>
        <w:t>2022</w:t>
      </w:r>
      <w:r>
        <w:rPr>
          <w:rFonts w:hint="eastAsia" w:ascii="宋体" w:hAnsi="宋体"/>
          <w:sz w:val="32"/>
          <w:lang w:val="zh-CN"/>
        </w:rPr>
        <w:t>年和</w:t>
      </w:r>
      <w:r>
        <w:rPr>
          <w:rFonts w:hint="default" w:ascii="??_GB2312" w:hAnsi="??_GB2312" w:eastAsia="??_GB2312"/>
          <w:sz w:val="32"/>
          <w:lang w:val="en-US"/>
        </w:rPr>
        <w:t>2030</w:t>
      </w:r>
      <w:r>
        <w:rPr>
          <w:rFonts w:hint="eastAsia" w:ascii="宋体" w:hAnsi="宋体"/>
          <w:sz w:val="32"/>
          <w:lang w:val="zh-CN"/>
        </w:rPr>
        <w:t>年，糖尿病患者规范管理率分别达到</w:t>
      </w:r>
      <w:r>
        <w:rPr>
          <w:rFonts w:hint="default" w:ascii="??_GB2312" w:hAnsi="??_GB2312" w:eastAsia="??_GB2312"/>
          <w:sz w:val="32"/>
          <w:lang w:val="en-US"/>
        </w:rPr>
        <w:t>60%</w:t>
      </w:r>
      <w:r>
        <w:rPr>
          <w:rFonts w:hint="eastAsia" w:ascii="宋体" w:hAnsi="宋体"/>
          <w:sz w:val="32"/>
          <w:lang w:val="zh-CN"/>
        </w:rPr>
        <w:t>及以上和</w:t>
      </w:r>
      <w:r>
        <w:rPr>
          <w:rFonts w:hint="default" w:ascii="??_GB2312" w:hAnsi="??_GB2312" w:eastAsia="??_GB2312"/>
          <w:sz w:val="32"/>
          <w:lang w:val="en-US"/>
        </w:rPr>
        <w:t>70%</w:t>
      </w:r>
      <w:r>
        <w:rPr>
          <w:rFonts w:hint="eastAsia" w:ascii="宋体" w:hAnsi="宋体"/>
          <w:sz w:val="32"/>
          <w:lang w:val="zh-CN"/>
        </w:rPr>
        <w:t>及以上。</w:t>
      </w:r>
    </w:p>
    <w:p>
      <w:pPr>
        <w:spacing w:beforeLines="0" w:afterLines="0" w:line="600" w:lineRule="atLeast"/>
        <w:ind w:firstLine="640"/>
        <w:rPr>
          <w:rFonts w:hint="default" w:ascii="??_GB2312" w:hAnsi="??_GB2312" w:eastAsia="??_GB2312"/>
          <w:sz w:val="32"/>
          <w:lang w:val="en-US"/>
        </w:rPr>
      </w:pPr>
      <w:r>
        <w:rPr>
          <w:rFonts w:hint="default" w:ascii="??_GB2312" w:hAnsi="??_GB2312" w:eastAsia="??_GB2312"/>
          <w:sz w:val="32"/>
          <w:lang w:val="en-US"/>
        </w:rPr>
        <w:t>15.</w:t>
      </w:r>
      <w:r>
        <w:rPr>
          <w:rFonts w:hint="eastAsia" w:ascii="宋体" w:hAnsi="宋体"/>
          <w:sz w:val="32"/>
          <w:lang w:val="zh-CN"/>
        </w:rPr>
        <w:t>实施传染病及地方病防控行动。传染病和地方病是重大公共卫生问题。引导居民提高自我防范意识，讲究个人卫生，预防疾病。充分认识疫苗对预防疾病的重要作用。倡导高危人群在流感流行季节前接种流感疫苗。加强艾滋病、病毒性肝炎、结核病等重大传染病防控，努力控制和降低传染病流行水平。强化寄生虫病、饮水型燃煤型氟砷中毒、大骨节病、氟骨症等地方病防治，控制和消除重点地方病。到</w:t>
      </w:r>
      <w:r>
        <w:rPr>
          <w:rFonts w:hint="default" w:ascii="??_GB2312" w:hAnsi="??_GB2312" w:eastAsia="??_GB2312"/>
          <w:sz w:val="32"/>
          <w:lang w:val="en-US"/>
        </w:rPr>
        <w:t>2022</w:t>
      </w:r>
      <w:r>
        <w:rPr>
          <w:rFonts w:hint="eastAsia" w:ascii="宋体" w:hAnsi="宋体"/>
          <w:sz w:val="32"/>
          <w:lang w:val="zh-CN"/>
        </w:rPr>
        <w:t>年和</w:t>
      </w:r>
      <w:r>
        <w:rPr>
          <w:rFonts w:hint="default" w:ascii="??_GB2312" w:hAnsi="??_GB2312" w:eastAsia="??_GB2312"/>
          <w:sz w:val="32"/>
          <w:lang w:val="en-US"/>
        </w:rPr>
        <w:t>2030</w:t>
      </w:r>
      <w:r>
        <w:rPr>
          <w:rFonts w:hint="eastAsia" w:ascii="宋体" w:hAnsi="宋体"/>
          <w:sz w:val="32"/>
          <w:lang w:val="zh-CN"/>
        </w:rPr>
        <w:t>年，以乡（镇、街道）为单位，适龄儿童免疫规划疫苗接种率保持在</w:t>
      </w:r>
      <w:r>
        <w:rPr>
          <w:rFonts w:hint="default" w:ascii="??_GB2312" w:hAnsi="??_GB2312" w:eastAsia="??_GB2312"/>
          <w:sz w:val="32"/>
          <w:lang w:val="en-US"/>
        </w:rPr>
        <w:t>90%</w:t>
      </w:r>
      <w:r>
        <w:rPr>
          <w:rFonts w:hint="eastAsia" w:ascii="宋体" w:hAnsi="宋体"/>
          <w:sz w:val="32"/>
          <w:lang w:val="zh-CN"/>
        </w:rPr>
        <w:t>以上。</w:t>
      </w:r>
    </w:p>
    <w:p>
      <w:pPr>
        <w:spacing w:beforeLines="0" w:afterLines="0" w:line="600" w:lineRule="atLeast"/>
        <w:ind w:firstLine="640"/>
        <w:rPr>
          <w:rFonts w:hint="eastAsia" w:ascii="黑体" w:hAnsi="黑体" w:eastAsia="黑体"/>
          <w:sz w:val="32"/>
          <w:lang w:val="zh-CN"/>
        </w:rPr>
      </w:pPr>
      <w:r>
        <w:rPr>
          <w:rFonts w:hint="eastAsia" w:ascii="黑体" w:hAnsi="黑体" w:eastAsia="黑体"/>
          <w:sz w:val="32"/>
          <w:lang w:val="zh-CN"/>
        </w:rPr>
        <w:t>四、组织实施</w:t>
      </w:r>
    </w:p>
    <w:p>
      <w:pPr>
        <w:spacing w:beforeLines="0" w:afterLines="0" w:line="600" w:lineRule="atLeast"/>
        <w:ind w:firstLine="640"/>
        <w:rPr>
          <w:rFonts w:hint="default" w:ascii="??_GB2312" w:hAnsi="??_GB2312" w:eastAsia="??_GB2312"/>
          <w:sz w:val="32"/>
          <w:lang w:val="en-US"/>
        </w:rPr>
      </w:pPr>
      <w:r>
        <w:rPr>
          <w:rFonts w:hint="eastAsia" w:ascii="宋体" w:hAnsi="宋体"/>
          <w:sz w:val="32"/>
          <w:lang w:val="zh-CN"/>
        </w:rPr>
        <w:t>（一）加强组织领导。国家层面成立健康中国行动推进委员会，制定印发《健康中国行动（</w:t>
      </w:r>
      <w:r>
        <w:rPr>
          <w:rFonts w:hint="default" w:ascii="??_GB2312" w:hAnsi="??_GB2312" w:eastAsia="??_GB2312"/>
          <w:sz w:val="32"/>
          <w:lang w:val="en-US"/>
        </w:rPr>
        <w:t>2019</w:t>
      </w:r>
      <w:r>
        <w:rPr>
          <w:rFonts w:hint="default" w:ascii="宋体" w:hAnsi="宋体"/>
          <w:sz w:val="32"/>
          <w:lang w:val="zh-CN"/>
        </w:rPr>
        <w:t>—</w:t>
      </w:r>
      <w:r>
        <w:rPr>
          <w:rFonts w:hint="default" w:ascii="??_GB2312" w:hAnsi="??_GB2312" w:eastAsia="??_GB2312"/>
          <w:sz w:val="32"/>
          <w:lang w:val="en-US"/>
        </w:rPr>
        <w:t>2030</w:t>
      </w:r>
      <w:r>
        <w:rPr>
          <w:rFonts w:hint="eastAsia" w:ascii="宋体" w:hAnsi="宋体"/>
          <w:sz w:val="32"/>
          <w:lang w:val="zh-CN"/>
        </w:rPr>
        <w:t>年）》，细化上述</w:t>
      </w:r>
      <w:r>
        <w:rPr>
          <w:rFonts w:hint="default" w:ascii="??_GB2312" w:hAnsi="??_GB2312" w:eastAsia="??_GB2312"/>
          <w:sz w:val="32"/>
          <w:lang w:val="en-US"/>
        </w:rPr>
        <w:t>15</w:t>
      </w:r>
      <w:r>
        <w:rPr>
          <w:rFonts w:hint="eastAsia" w:ascii="宋体" w:hAnsi="宋体"/>
          <w:sz w:val="32"/>
          <w:lang w:val="zh-CN"/>
        </w:rPr>
        <w:t>项行动的目标、指标、任务和职责分工，统筹指导各地区各相关部门加强协作，研究疾病的综合防治策略，做好监测考核。要根据医学进步和相关技术发展等情况，适时组织修订完善《健康中国行动》内容。各地区要结合实际健全领导推进工作机制，研究制定实施方案，逐项抓好任务落实。各相关部门要按照职责分工，将预防为主、防病在先融入各项政策举措中，研究具体政策措施，推动落实重点任务。</w:t>
      </w:r>
    </w:p>
    <w:p>
      <w:pPr>
        <w:spacing w:beforeLines="0" w:afterLines="0" w:line="600" w:lineRule="atLeast"/>
        <w:ind w:firstLine="640"/>
        <w:rPr>
          <w:rFonts w:hint="default" w:ascii="??_GB2312" w:hAnsi="??_GB2312" w:eastAsia="??_GB2312"/>
          <w:color w:val="000000"/>
          <w:sz w:val="32"/>
          <w:lang w:val="en-US"/>
        </w:rPr>
      </w:pPr>
      <w:r>
        <w:rPr>
          <w:rFonts w:hint="eastAsia" w:ascii="宋体" w:hAnsi="宋体"/>
          <w:sz w:val="32"/>
          <w:lang w:val="zh-CN"/>
        </w:rPr>
        <w:t>（二）动员各方广泛参与。凝聚全社会力量，形成健康促进的强大合力。鼓励个人和家庭积极参与健康中国行动，落实个人健康责任，养成健康生活方式。各单位特别是各学校、各社区（村）要充分挖掘和利用自身资源，积极开展健康细胞工程建设，创造健康支持性环境。鼓励企业研发生产符合健康需求的产品，增加健康产品供给，国有企业特别是中央企业要做出表率。鼓励社会捐资，依托社会力量依法成立健康中国行动基金会，形成资金来源多元化的保障机制。鼓励金融机构创新健康类产品和服务。卫生健康相关行业学会、协会和群团组织以及其他社会组织要充分发挥作用，</w:t>
      </w:r>
      <w:r>
        <w:rPr>
          <w:rFonts w:hint="eastAsia" w:ascii="宋体" w:hAnsi="宋体"/>
          <w:color w:val="000000"/>
          <w:sz w:val="32"/>
          <w:lang w:val="zh-CN"/>
        </w:rPr>
        <w:t>指导、组织健康促进和健康科普工作。</w:t>
      </w:r>
    </w:p>
    <w:p>
      <w:pPr>
        <w:spacing w:beforeLines="0" w:afterLines="0" w:line="600" w:lineRule="atLeast"/>
        <w:ind w:firstLine="640"/>
        <w:rPr>
          <w:rFonts w:hint="default" w:ascii="??_GB2312" w:hAnsi="??_GB2312" w:eastAsia="??_GB2312"/>
          <w:color w:val="auto"/>
          <w:sz w:val="32"/>
          <w:lang w:val="en-US"/>
        </w:rPr>
      </w:pPr>
      <w:r>
        <w:rPr>
          <w:rFonts w:hint="eastAsia" w:ascii="宋体" w:hAnsi="宋体"/>
          <w:color w:val="auto"/>
          <w:sz w:val="32"/>
          <w:lang w:val="zh-CN"/>
        </w:rPr>
        <w:t>（三）健全支撑体系。</w:t>
      </w:r>
      <w:r>
        <w:rPr>
          <w:rFonts w:hint="eastAsia" w:ascii="宋体" w:hAnsi="宋体"/>
          <w:color w:val="000000"/>
          <w:sz w:val="32"/>
          <w:lang w:val="zh-CN"/>
        </w:rPr>
        <w:t>加强公共卫生体系建设和人才培养，提高疾病防治和应急处置能力。加强财政支持，强化资金统筹，优</w:t>
      </w:r>
      <w:r>
        <w:rPr>
          <w:rFonts w:hint="eastAsia" w:ascii="宋体" w:hAnsi="宋体"/>
          <w:color w:val="auto"/>
          <w:sz w:val="32"/>
          <w:lang w:val="zh-CN"/>
        </w:rPr>
        <w:t>化资源配置，提高基本公共卫生服务项目、重大公共卫生服务项目资金使用的针对性和有效性。加强科技支撑，开展一批影响健康因素和疑难重症诊疗攻关重大课题研究，国家科技重大专项、重点研发计划要给予支持。完善相关法律法规体系，开展健康政策审查，保障各项任务落实和目标实现。加强信息支撑，推动部门和区域间共享健康相关信息。</w:t>
      </w:r>
    </w:p>
    <w:p>
      <w:pPr>
        <w:spacing w:beforeLines="0" w:afterLines="0" w:line="600" w:lineRule="atLeast"/>
        <w:ind w:firstLine="640"/>
        <w:rPr>
          <w:rFonts w:hint="default" w:ascii="??_GB2312" w:hAnsi="??_GB2312" w:eastAsia="??_GB2312"/>
          <w:color w:val="auto"/>
          <w:sz w:val="32"/>
          <w:lang w:val="en-US"/>
        </w:rPr>
      </w:pPr>
      <w:r>
        <w:rPr>
          <w:rFonts w:hint="eastAsia" w:ascii="宋体" w:hAnsi="宋体"/>
          <w:color w:val="auto"/>
          <w:sz w:val="32"/>
          <w:lang w:val="zh-CN"/>
        </w:rPr>
        <w:t>（四）注重宣传引导。采取多种形式，强化舆论宣传，及时发布政策解读，回应社会关切。设立健康中国行动专题网站，大力宣传实施健康中国行动、促进全民健康的重大意义、目标任务和重大举措。编制群众喜闻乐见的解读材料和文艺作品，以有效方式引导群众了解和掌握必备健康知识，践行健康生活方式。加强科学引导和典型报道，增强社会的普遍认知，营造良好的社会氛围。</w:t>
      </w:r>
    </w:p>
    <w:p>
      <w:pPr>
        <w:spacing w:beforeLines="0" w:afterLines="0" w:line="600" w:lineRule="atLeast"/>
        <w:ind w:firstLine="640"/>
        <w:rPr>
          <w:rFonts w:hint="default" w:ascii="??_GB2312" w:hAnsi="??_GB2312" w:eastAsia="??_GB2312"/>
          <w:color w:val="auto"/>
          <w:sz w:val="32"/>
          <w:lang w:val="en-US"/>
        </w:rPr>
      </w:pPr>
    </w:p>
    <w:p>
      <w:pPr>
        <w:spacing w:beforeLines="0" w:afterLines="0" w:line="600" w:lineRule="atLeast"/>
        <w:ind w:firstLine="640"/>
        <w:rPr>
          <w:rFonts w:hint="default" w:ascii="??_GB2312" w:hAnsi="??_GB2312" w:eastAsia="??_GB2312"/>
          <w:color w:val="auto"/>
          <w:sz w:val="32"/>
          <w:lang w:val="en-US"/>
        </w:rPr>
      </w:pPr>
    </w:p>
    <w:p>
      <w:pPr>
        <w:spacing w:beforeLines="0" w:afterLines="0" w:line="600" w:lineRule="atLeast"/>
        <w:ind w:firstLine="640"/>
        <w:rPr>
          <w:rFonts w:hint="default" w:ascii="??_GB2312" w:hAnsi="??_GB2312" w:eastAsia="??_GB2312"/>
          <w:color w:val="auto"/>
          <w:sz w:val="32"/>
          <w:lang w:val="en-US"/>
        </w:rPr>
      </w:pPr>
    </w:p>
    <w:p>
      <w:pPr>
        <w:spacing w:beforeLines="0" w:afterLines="0" w:line="600" w:lineRule="atLeast"/>
        <w:ind w:firstLine="640"/>
        <w:rPr>
          <w:rFonts w:hint="default" w:ascii="??_GB2312" w:hAnsi="??_GB2312" w:eastAsia="??_GB2312"/>
          <w:color w:val="auto"/>
          <w:sz w:val="32"/>
          <w:lang w:val="en-US"/>
        </w:rPr>
      </w:pPr>
      <w:r>
        <w:rPr>
          <w:rFonts w:hint="default" w:ascii="??_GB2312" w:hAnsi="??_GB2312" w:eastAsia="??_GB2312"/>
          <w:color w:val="auto"/>
          <w:sz w:val="32"/>
          <w:lang w:val="en-US"/>
        </w:rPr>
        <w:t xml:space="preserve">                                    </w:t>
      </w:r>
      <w:r>
        <w:rPr>
          <w:rFonts w:hint="eastAsia" w:ascii="宋体" w:hAnsi="宋体"/>
          <w:color w:val="auto"/>
          <w:sz w:val="32"/>
          <w:lang w:val="zh-CN"/>
        </w:rPr>
        <w:t>国务院</w:t>
      </w:r>
    </w:p>
    <w:p>
      <w:pPr>
        <w:spacing w:beforeLines="0" w:afterLines="0" w:line="600" w:lineRule="atLeast"/>
        <w:ind w:firstLine="640"/>
        <w:jc w:val="center"/>
        <w:rPr>
          <w:rFonts w:hint="default" w:ascii="??_GB2312" w:hAnsi="??_GB2312" w:eastAsia="??_GB2312"/>
          <w:color w:val="auto"/>
          <w:sz w:val="32"/>
          <w:lang w:val="en-US"/>
        </w:rPr>
      </w:pPr>
      <w:r>
        <w:rPr>
          <w:rFonts w:hint="default" w:ascii="??_GB2312" w:hAnsi="??_GB2312" w:eastAsia="??_GB2312"/>
          <w:color w:val="auto"/>
          <w:sz w:val="32"/>
          <w:lang w:val="en-US"/>
        </w:rPr>
        <w:t xml:space="preserve">                               2019</w:t>
      </w:r>
      <w:r>
        <w:rPr>
          <w:rFonts w:hint="eastAsia" w:ascii="宋体" w:hAnsi="宋体"/>
          <w:color w:val="auto"/>
          <w:sz w:val="32"/>
          <w:lang w:val="zh-CN"/>
        </w:rPr>
        <w:t>年</w:t>
      </w:r>
      <w:r>
        <w:rPr>
          <w:rFonts w:hint="default" w:ascii="??_GB2312" w:hAnsi="??_GB2312" w:eastAsia="??_GB2312"/>
          <w:color w:val="auto"/>
          <w:sz w:val="32"/>
          <w:lang w:val="en-US"/>
        </w:rPr>
        <w:t>6</w:t>
      </w:r>
      <w:r>
        <w:rPr>
          <w:rFonts w:hint="eastAsia" w:ascii="宋体" w:hAnsi="宋体"/>
          <w:color w:val="auto"/>
          <w:sz w:val="32"/>
          <w:lang w:val="zh-CN"/>
        </w:rPr>
        <w:t>月</w:t>
      </w:r>
      <w:r>
        <w:rPr>
          <w:rFonts w:hint="default" w:ascii="??_GB2312" w:hAnsi="??_GB2312" w:eastAsia="??_GB2312"/>
          <w:color w:val="auto"/>
          <w:sz w:val="32"/>
          <w:lang w:val="en-US"/>
        </w:rPr>
        <w:t>24</w:t>
      </w:r>
      <w:r>
        <w:rPr>
          <w:rFonts w:hint="eastAsia" w:ascii="宋体" w:hAnsi="宋体"/>
          <w:color w:val="auto"/>
          <w:sz w:val="32"/>
          <w:lang w:val="zh-CN"/>
        </w:rPr>
        <w:t>日</w:t>
      </w:r>
    </w:p>
    <w:p>
      <w:pPr>
        <w:spacing w:beforeLines="0" w:afterLines="0" w:line="600" w:lineRule="atLeast"/>
        <w:ind w:firstLine="640"/>
        <w:jc w:val="left"/>
        <w:rPr>
          <w:rFonts w:hint="default" w:ascii="??_GB2312" w:hAnsi="??_GB2312" w:eastAsia="??_GB2312"/>
          <w:color w:val="auto"/>
          <w:sz w:val="32"/>
          <w:lang w:val="en-US"/>
        </w:rPr>
      </w:pPr>
    </w:p>
    <w:p>
      <w:pPr>
        <w:spacing w:beforeLines="0" w:afterLines="0" w:line="600" w:lineRule="atLeast"/>
        <w:ind w:firstLine="640"/>
        <w:jc w:val="left"/>
        <w:rPr>
          <w:rFonts w:hint="default" w:ascii="??_GB2312" w:hAnsi="??_GB2312" w:eastAsia="??_GB2312"/>
          <w:color w:val="auto"/>
          <w:sz w:val="32"/>
          <w:lang w:val="en-US"/>
        </w:rPr>
      </w:pPr>
      <w:r>
        <w:rPr>
          <w:rFonts w:hint="eastAsia" w:ascii="宋体" w:hAnsi="宋体"/>
          <w:color w:val="auto"/>
          <w:sz w:val="32"/>
          <w:lang w:val="zh-CN"/>
        </w:rPr>
        <w:t>（此件公开发布）</w:t>
      </w:r>
    </w:p>
    <w:p>
      <w:pPr>
        <w:spacing w:beforeLines="0" w:afterLines="0"/>
        <w:ind w:right="840"/>
        <w:jc w:val="right"/>
        <w:rPr>
          <w:rFonts w:hint="default" w:ascii="Times New Roman" w:hAnsi="Times New Roman" w:eastAsia="Times New Roman"/>
          <w:color w:val="auto"/>
          <w:sz w:val="32"/>
          <w:lang w:val="en-US"/>
        </w:rPr>
      </w:pPr>
      <w:r>
        <w:rPr>
          <w:rFonts w:hint="eastAsia" w:ascii="黑体" w:hAnsi="黑体" w:eastAsia="黑体"/>
          <w:color w:val="auto"/>
          <w:sz w:val="32"/>
          <w:lang w:val="zh-CN"/>
        </w:rPr>
        <w:t xml:space="preserve"> </w:t>
      </w:r>
    </w:p>
    <w:p>
      <w:pPr>
        <w:spacing w:beforeLines="0" w:afterLines="0" w:line="600" w:lineRule="atLeast"/>
        <w:ind w:firstLine="640"/>
        <w:jc w:val="center"/>
        <w:rPr>
          <w:rFonts w:hint="default" w:ascii="??_GB2312" w:hAnsi="??_GB2312" w:eastAsia="??_GB2312"/>
          <w:color w:val="auto"/>
          <w:sz w:val="32"/>
          <w:lang w:val="en-US"/>
        </w:rPr>
      </w:pPr>
    </w:p>
    <w:p>
      <w:pPr>
        <w:spacing w:beforeLines="0" w:afterLines="0"/>
        <w:rPr>
          <w:rFonts w:hint="default" w:ascii="??_GB2312" w:hAnsi="??_GB2312" w:eastAsia="??_GB2312"/>
          <w:color w:val="auto"/>
          <w:sz w:val="32"/>
          <w:lang w:val="en-US"/>
        </w:rPr>
      </w:pPr>
      <w:r>
        <w:rPr>
          <w:rFonts w:hint="default" w:ascii="??_GB2312" w:hAnsi="??_GB2312" w:eastAsia="??_GB2312"/>
          <w:color w:val="auto"/>
          <w:sz w:val="32"/>
          <w:lang w:val="en-US"/>
        </w:rPr>
        <w:br w:type="page"/>
      </w:r>
    </w:p>
    <w:p>
      <w:pPr>
        <w:spacing w:beforeLines="0" w:afterLines="0" w:line="600" w:lineRule="atLeast"/>
        <w:jc w:val="center"/>
        <w:rPr>
          <w:rFonts w:hint="default" w:ascii="??_GB2312" w:hAnsi="??_GB2312" w:eastAsia="??_GB2312"/>
          <w:color w:val="auto"/>
          <w:sz w:val="32"/>
          <w:lang w:val="en-US"/>
        </w:rPr>
      </w:pPr>
    </w:p>
    <w:p>
      <w:pPr>
        <w:spacing w:beforeLines="0" w:afterLines="0" w:line="600" w:lineRule="atLeast"/>
        <w:jc w:val="center"/>
        <w:rPr>
          <w:rFonts w:hint="default" w:ascii="??_GB2312" w:hAnsi="??_GB2312" w:eastAsia="??_GB2312"/>
          <w:color w:val="auto"/>
          <w:sz w:val="32"/>
          <w:lang w:val="en-US"/>
        </w:rPr>
      </w:pPr>
    </w:p>
    <w:p>
      <w:pPr>
        <w:keepNext/>
        <w:spacing w:beforeLines="0" w:afterLines="0" w:line="600" w:lineRule="atLeast"/>
        <w:jc w:val="center"/>
        <w:rPr>
          <w:rFonts w:hint="eastAsia" w:ascii="宋体" w:hAnsi="宋体"/>
          <w:b/>
          <w:color w:val="auto"/>
          <w:sz w:val="44"/>
          <w:lang w:val="zh-CN"/>
        </w:rPr>
      </w:pPr>
      <w:r>
        <w:rPr>
          <w:rFonts w:hint="eastAsia" w:ascii="宋体" w:hAnsi="宋体"/>
          <w:b/>
          <w:color w:val="auto"/>
          <w:sz w:val="44"/>
          <w:lang w:val="zh-CN"/>
        </w:rPr>
        <w:t>国务院办公厅关于印发健康中国行动</w:t>
      </w:r>
    </w:p>
    <w:p>
      <w:pPr>
        <w:spacing w:beforeLines="0" w:afterLines="0" w:line="600" w:lineRule="atLeast"/>
        <w:jc w:val="center"/>
        <w:rPr>
          <w:rFonts w:hint="eastAsia" w:ascii="宋体" w:hAnsi="宋体"/>
          <w:b/>
          <w:color w:val="auto"/>
          <w:sz w:val="44"/>
          <w:lang w:val="zh-CN"/>
        </w:rPr>
      </w:pPr>
      <w:r>
        <w:rPr>
          <w:rFonts w:hint="eastAsia" w:ascii="宋体" w:hAnsi="宋体"/>
          <w:b/>
          <w:color w:val="auto"/>
          <w:sz w:val="44"/>
          <w:lang w:val="zh-CN"/>
        </w:rPr>
        <w:t>组织实施和考核方案的通知</w:t>
      </w:r>
    </w:p>
    <w:p>
      <w:pPr>
        <w:spacing w:beforeLines="0" w:afterLines="0" w:line="600" w:lineRule="atLeast"/>
        <w:jc w:val="center"/>
        <w:rPr>
          <w:rFonts w:hint="default" w:ascii="??_GB2312" w:hAnsi="??_GB2312" w:eastAsia="??_GB2312"/>
          <w:color w:val="auto"/>
          <w:sz w:val="32"/>
          <w:lang w:val="en-US"/>
        </w:rPr>
      </w:pPr>
      <w:r>
        <w:rPr>
          <w:rFonts w:hint="eastAsia" w:ascii="宋体" w:hAnsi="宋体"/>
          <w:color w:val="auto"/>
          <w:sz w:val="32"/>
          <w:lang w:val="zh-CN"/>
        </w:rPr>
        <w:t>国办发〔</w:t>
      </w:r>
      <w:r>
        <w:rPr>
          <w:rFonts w:hint="default" w:ascii="??_GB2312" w:hAnsi="??_GB2312" w:eastAsia="??_GB2312"/>
          <w:color w:val="auto"/>
          <w:sz w:val="32"/>
          <w:lang w:val="en-US"/>
        </w:rPr>
        <w:t>2019</w:t>
      </w:r>
      <w:r>
        <w:rPr>
          <w:rFonts w:hint="eastAsia" w:ascii="宋体" w:hAnsi="宋体"/>
          <w:color w:val="auto"/>
          <w:sz w:val="32"/>
          <w:lang w:val="zh-CN"/>
        </w:rPr>
        <w:t>〕</w:t>
      </w:r>
      <w:r>
        <w:rPr>
          <w:rFonts w:hint="default" w:ascii="??_GB2312" w:hAnsi="??_GB2312" w:eastAsia="??_GB2312"/>
          <w:color w:val="auto"/>
          <w:sz w:val="32"/>
          <w:lang w:val="en-US"/>
        </w:rPr>
        <w:t>32</w:t>
      </w:r>
      <w:r>
        <w:rPr>
          <w:rFonts w:hint="eastAsia" w:ascii="宋体" w:hAnsi="宋体"/>
          <w:color w:val="auto"/>
          <w:sz w:val="32"/>
          <w:lang w:val="zh-CN"/>
        </w:rPr>
        <w:t>号</w:t>
      </w:r>
    </w:p>
    <w:p>
      <w:pPr>
        <w:spacing w:beforeLines="0" w:afterLines="0" w:line="600" w:lineRule="atLeast"/>
        <w:rPr>
          <w:rFonts w:hint="default" w:ascii="??_GB2312" w:hAnsi="??_GB2312" w:eastAsia="??_GB2312"/>
          <w:color w:val="auto"/>
          <w:sz w:val="32"/>
          <w:lang w:val="en-US"/>
        </w:rPr>
      </w:pPr>
    </w:p>
    <w:p>
      <w:pPr>
        <w:spacing w:beforeLines="0" w:afterLines="0" w:line="600" w:lineRule="atLeast"/>
        <w:rPr>
          <w:rFonts w:hint="default" w:ascii="??_GB2312" w:hAnsi="??_GB2312" w:eastAsia="??_GB2312"/>
          <w:color w:val="auto"/>
          <w:sz w:val="32"/>
          <w:lang w:val="en-US"/>
        </w:rPr>
      </w:pPr>
      <w:r>
        <w:rPr>
          <w:rFonts w:hint="eastAsia" w:ascii="宋体" w:hAnsi="宋体"/>
          <w:color w:val="auto"/>
          <w:sz w:val="32"/>
          <w:lang w:val="zh-CN"/>
        </w:rPr>
        <w:t>各省、自治区、直辖市人民政府，国务院各部委、各直属机构：</w:t>
      </w:r>
    </w:p>
    <w:p>
      <w:pPr>
        <w:spacing w:beforeLines="0" w:afterLines="0" w:line="600" w:lineRule="atLeast"/>
        <w:ind w:firstLine="640"/>
        <w:rPr>
          <w:rFonts w:hint="default" w:ascii="??_GB2312" w:hAnsi="??_GB2312" w:eastAsia="??_GB2312"/>
          <w:color w:val="auto"/>
          <w:sz w:val="32"/>
          <w:lang w:val="en-US"/>
        </w:rPr>
      </w:pPr>
      <w:r>
        <w:rPr>
          <w:rFonts w:hint="eastAsia" w:ascii="宋体" w:hAnsi="宋体"/>
          <w:color w:val="auto"/>
          <w:sz w:val="32"/>
          <w:lang w:val="zh-CN"/>
        </w:rPr>
        <w:t>《健康中国行动组织实施和考核方案》已经国务院同意，现印发给你们，请结合实际，认真组织实施。</w:t>
      </w:r>
    </w:p>
    <w:p>
      <w:pPr>
        <w:spacing w:beforeLines="0" w:afterLines="0" w:line="600" w:lineRule="atLeast"/>
        <w:ind w:firstLine="640"/>
        <w:rPr>
          <w:rFonts w:hint="default" w:ascii="??_GB2312" w:hAnsi="??_GB2312" w:eastAsia="??_GB2312"/>
          <w:color w:val="auto"/>
          <w:sz w:val="32"/>
          <w:lang w:val="en-US"/>
        </w:rPr>
      </w:pPr>
    </w:p>
    <w:p>
      <w:pPr>
        <w:spacing w:beforeLines="0" w:afterLines="0" w:line="600" w:lineRule="atLeast"/>
        <w:ind w:firstLine="640"/>
        <w:rPr>
          <w:rFonts w:hint="default" w:ascii="??_GB2312" w:hAnsi="??_GB2312" w:eastAsia="??_GB2312"/>
          <w:color w:val="auto"/>
          <w:sz w:val="32"/>
          <w:lang w:val="en-US"/>
        </w:rPr>
      </w:pPr>
    </w:p>
    <w:p>
      <w:pPr>
        <w:spacing w:beforeLines="0" w:afterLines="0" w:line="600" w:lineRule="atLeast"/>
        <w:ind w:firstLine="640"/>
        <w:rPr>
          <w:rFonts w:hint="default" w:ascii="??_GB2312" w:hAnsi="??_GB2312" w:eastAsia="??_GB2312"/>
          <w:color w:val="auto"/>
          <w:sz w:val="32"/>
          <w:lang w:val="en-US"/>
        </w:rPr>
      </w:pPr>
    </w:p>
    <w:p>
      <w:pPr>
        <w:spacing w:beforeLines="0" w:afterLines="0" w:line="600" w:lineRule="atLeast"/>
        <w:ind w:firstLine="640"/>
        <w:rPr>
          <w:rFonts w:hint="default" w:ascii="??_GB2312" w:hAnsi="??_GB2312" w:eastAsia="??_GB2312"/>
          <w:color w:val="auto"/>
          <w:sz w:val="32"/>
          <w:lang w:val="en-US"/>
        </w:rPr>
      </w:pPr>
      <w:r>
        <w:rPr>
          <w:rFonts w:hint="default" w:ascii="??_GB2312" w:hAnsi="??_GB2312" w:eastAsia="??_GB2312"/>
          <w:color w:val="auto"/>
          <w:sz w:val="32"/>
          <w:lang w:val="en-US"/>
        </w:rPr>
        <w:t xml:space="preserve">                             </w:t>
      </w:r>
      <w:r>
        <w:rPr>
          <w:rFonts w:hint="eastAsia" w:ascii="宋体" w:hAnsi="宋体"/>
          <w:color w:val="auto"/>
          <w:sz w:val="32"/>
          <w:lang w:val="zh-CN"/>
        </w:rPr>
        <w:t>国务院办公厅</w:t>
      </w:r>
    </w:p>
    <w:p>
      <w:pPr>
        <w:spacing w:beforeLines="0" w:afterLines="0" w:line="600" w:lineRule="atLeast"/>
        <w:ind w:firstLine="5120"/>
        <w:rPr>
          <w:rFonts w:hint="default" w:ascii="??_GB2312" w:hAnsi="??_GB2312" w:eastAsia="??_GB2312"/>
          <w:color w:val="auto"/>
          <w:sz w:val="32"/>
          <w:lang w:val="en-US"/>
        </w:rPr>
      </w:pPr>
      <w:r>
        <w:rPr>
          <w:rFonts w:hint="default" w:ascii="??_GB2312" w:hAnsi="??_GB2312" w:eastAsia="??_GB2312"/>
          <w:color w:val="auto"/>
          <w:sz w:val="32"/>
          <w:lang w:val="en-US"/>
        </w:rPr>
        <w:t>2019</w:t>
      </w:r>
      <w:r>
        <w:rPr>
          <w:rFonts w:hint="eastAsia" w:ascii="宋体" w:hAnsi="宋体"/>
          <w:color w:val="auto"/>
          <w:sz w:val="32"/>
          <w:lang w:val="zh-CN"/>
        </w:rPr>
        <w:t>年</w:t>
      </w:r>
      <w:r>
        <w:rPr>
          <w:rFonts w:hint="default" w:ascii="??_GB2312" w:hAnsi="??_GB2312" w:eastAsia="??_GB2312"/>
          <w:color w:val="auto"/>
          <w:sz w:val="32"/>
          <w:lang w:val="en-US"/>
        </w:rPr>
        <w:t>6</w:t>
      </w:r>
      <w:r>
        <w:rPr>
          <w:rFonts w:hint="eastAsia" w:ascii="宋体" w:hAnsi="宋体"/>
          <w:color w:val="auto"/>
          <w:sz w:val="32"/>
          <w:lang w:val="zh-CN"/>
        </w:rPr>
        <w:t>月</w:t>
      </w:r>
      <w:r>
        <w:rPr>
          <w:rFonts w:hint="default" w:ascii="??_GB2312" w:hAnsi="??_GB2312" w:eastAsia="??_GB2312"/>
          <w:color w:val="auto"/>
          <w:sz w:val="32"/>
          <w:lang w:val="en-US"/>
        </w:rPr>
        <w:t>24</w:t>
      </w:r>
      <w:r>
        <w:rPr>
          <w:rFonts w:hint="eastAsia" w:ascii="宋体" w:hAnsi="宋体"/>
          <w:color w:val="auto"/>
          <w:sz w:val="32"/>
          <w:lang w:val="zh-CN"/>
        </w:rPr>
        <w:t>日</w:t>
      </w:r>
    </w:p>
    <w:p>
      <w:pPr>
        <w:spacing w:beforeLines="0" w:afterLines="0" w:line="600" w:lineRule="atLeast"/>
        <w:ind w:firstLine="640"/>
        <w:jc w:val="center"/>
        <w:rPr>
          <w:rFonts w:hint="default" w:ascii="??_GB2312" w:hAnsi="??_GB2312" w:eastAsia="??_GB2312"/>
          <w:color w:val="auto"/>
          <w:sz w:val="32"/>
          <w:lang w:val="en-US"/>
        </w:rPr>
      </w:pPr>
    </w:p>
    <w:p>
      <w:pPr>
        <w:spacing w:beforeLines="0" w:afterLines="0" w:line="600" w:lineRule="atLeast"/>
        <w:ind w:firstLine="640"/>
        <w:jc w:val="left"/>
        <w:rPr>
          <w:rFonts w:hint="default" w:ascii="??_GB2312" w:hAnsi="??_GB2312" w:eastAsia="??_GB2312"/>
          <w:color w:val="auto"/>
          <w:sz w:val="32"/>
          <w:lang w:val="en-US"/>
        </w:rPr>
      </w:pPr>
      <w:r>
        <w:rPr>
          <w:rFonts w:hint="eastAsia" w:ascii="宋体" w:hAnsi="宋体"/>
          <w:color w:val="auto"/>
          <w:sz w:val="32"/>
          <w:lang w:val="zh-CN"/>
        </w:rPr>
        <w:t>（此件公开发布）</w:t>
      </w:r>
    </w:p>
    <w:p>
      <w:pPr>
        <w:spacing w:beforeLines="0" w:afterLines="0" w:line="600" w:lineRule="atLeast"/>
        <w:ind w:firstLine="640"/>
        <w:rPr>
          <w:rFonts w:hint="default" w:ascii="??_GB2312" w:hAnsi="??_GB2312" w:eastAsia="??_GB2312"/>
          <w:color w:val="auto"/>
          <w:sz w:val="32"/>
          <w:lang w:val="en-US"/>
        </w:rPr>
      </w:pPr>
    </w:p>
    <w:p>
      <w:pPr>
        <w:spacing w:beforeLines="0" w:afterLines="0" w:line="600" w:lineRule="atLeast"/>
        <w:ind w:firstLine="640"/>
        <w:rPr>
          <w:rFonts w:hint="default" w:ascii="??_GB2312" w:hAnsi="??_GB2312" w:eastAsia="??_GB2312"/>
          <w:color w:val="auto"/>
          <w:sz w:val="32"/>
          <w:lang w:val="en-US"/>
        </w:rPr>
      </w:pPr>
    </w:p>
    <w:p>
      <w:pPr>
        <w:spacing w:beforeLines="0" w:afterLines="0" w:line="600" w:lineRule="atLeast"/>
        <w:ind w:firstLine="640"/>
        <w:rPr>
          <w:rFonts w:hint="default" w:ascii="??_GB2312" w:hAnsi="??_GB2312" w:eastAsia="??_GB2312"/>
          <w:color w:val="auto"/>
          <w:sz w:val="32"/>
          <w:lang w:val="en-US"/>
        </w:rPr>
      </w:pPr>
    </w:p>
    <w:p>
      <w:pPr>
        <w:spacing w:beforeLines="0" w:afterLines="0" w:line="600" w:lineRule="atLeast"/>
        <w:ind w:firstLine="640"/>
        <w:rPr>
          <w:rFonts w:hint="default" w:ascii="??_GB2312" w:hAnsi="??_GB2312" w:eastAsia="??_GB2312"/>
          <w:color w:val="auto"/>
          <w:sz w:val="32"/>
          <w:lang w:val="en-US"/>
        </w:rPr>
      </w:pPr>
    </w:p>
    <w:p>
      <w:pPr>
        <w:spacing w:beforeLines="0" w:afterLines="0" w:line="600" w:lineRule="atLeast"/>
        <w:ind w:firstLine="640"/>
        <w:jc w:val="center"/>
        <w:rPr>
          <w:rFonts w:hint="default" w:ascii="??_GB2312" w:hAnsi="??_GB2312" w:eastAsia="??_GB2312"/>
          <w:color w:val="auto"/>
          <w:sz w:val="32"/>
          <w:lang w:val="en-US"/>
        </w:rPr>
      </w:pPr>
    </w:p>
    <w:p>
      <w:pPr>
        <w:spacing w:beforeLines="0" w:afterLines="0" w:line="600" w:lineRule="atLeast"/>
        <w:ind w:firstLine="640"/>
        <w:jc w:val="center"/>
        <w:rPr>
          <w:rFonts w:hint="default" w:ascii="??_GB2312" w:hAnsi="??_GB2312" w:eastAsia="??_GB2312"/>
          <w:color w:val="auto"/>
          <w:sz w:val="32"/>
          <w:lang w:val="en-US"/>
        </w:rPr>
      </w:pPr>
    </w:p>
    <w:p>
      <w:pPr>
        <w:spacing w:beforeLines="0" w:afterLines="0" w:line="600" w:lineRule="atLeast"/>
        <w:ind w:firstLine="640"/>
        <w:jc w:val="center"/>
        <w:rPr>
          <w:rFonts w:hint="default" w:ascii="??_GB2312" w:hAnsi="??_GB2312" w:eastAsia="??_GB2312"/>
          <w:color w:val="auto"/>
          <w:sz w:val="32"/>
          <w:lang w:val="en-US"/>
        </w:rPr>
      </w:pPr>
    </w:p>
    <w:p>
      <w:pPr>
        <w:spacing w:beforeLines="0" w:afterLines="0" w:line="600" w:lineRule="atLeast"/>
        <w:jc w:val="center"/>
        <w:rPr>
          <w:rFonts w:hint="eastAsia" w:ascii="宋体" w:hAnsi="宋体"/>
          <w:b/>
          <w:color w:val="auto"/>
          <w:sz w:val="44"/>
          <w:lang w:val="zh-CN"/>
        </w:rPr>
      </w:pPr>
      <w:r>
        <w:rPr>
          <w:rFonts w:hint="eastAsia" w:ascii="宋体" w:hAnsi="宋体"/>
          <w:b/>
          <w:color w:val="auto"/>
          <w:sz w:val="44"/>
          <w:lang w:val="zh-CN"/>
        </w:rPr>
        <w:t>健康中国行动组织实施和考核方案</w:t>
      </w:r>
    </w:p>
    <w:p>
      <w:pPr>
        <w:spacing w:beforeLines="0" w:afterLines="0" w:line="600" w:lineRule="atLeast"/>
        <w:jc w:val="center"/>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 xml:space="preserve"> </w:t>
      </w:r>
    </w:p>
    <w:p>
      <w:pPr>
        <w:spacing w:beforeLines="0" w:afterLines="0" w:line="600" w:lineRule="atLeast"/>
        <w:ind w:firstLine="640"/>
        <w:rPr>
          <w:rFonts w:hint="default" w:ascii="??_GB2312" w:hAnsi="??_GB2312" w:eastAsia="??_GB2312"/>
          <w:color w:val="auto"/>
          <w:sz w:val="32"/>
          <w:lang w:val="en-US"/>
        </w:rPr>
      </w:pPr>
      <w:r>
        <w:rPr>
          <w:rFonts w:hint="eastAsia" w:ascii="宋体" w:hAnsi="宋体"/>
          <w:color w:val="auto"/>
          <w:sz w:val="32"/>
          <w:lang w:val="zh-CN"/>
        </w:rPr>
        <w:t>为贯彻落实《</w:t>
      </w:r>
      <w:r>
        <w:rPr>
          <w:rFonts w:hint="default" w:ascii="宋体" w:hAnsi="宋体"/>
          <w:color w:val="auto"/>
          <w:sz w:val="32"/>
          <w:lang w:val="zh-CN"/>
        </w:rPr>
        <w:t>“</w:t>
      </w:r>
      <w:r>
        <w:rPr>
          <w:rFonts w:hint="eastAsia" w:ascii="宋体" w:hAnsi="宋体"/>
          <w:color w:val="auto"/>
          <w:sz w:val="32"/>
          <w:lang w:val="zh-CN"/>
        </w:rPr>
        <w:t>健康中国</w:t>
      </w:r>
      <w:r>
        <w:rPr>
          <w:rFonts w:hint="default" w:ascii="??_GB2312" w:hAnsi="??_GB2312" w:eastAsia="??_GB2312"/>
          <w:color w:val="auto"/>
          <w:sz w:val="32"/>
          <w:lang w:val="en-US"/>
        </w:rPr>
        <w:t>2030</w:t>
      </w:r>
      <w:r>
        <w:rPr>
          <w:rFonts w:hint="default" w:ascii="宋体" w:hAnsi="宋体"/>
          <w:color w:val="auto"/>
          <w:sz w:val="32"/>
          <w:lang w:val="zh-CN"/>
        </w:rPr>
        <w:t>”</w:t>
      </w:r>
      <w:r>
        <w:rPr>
          <w:rFonts w:hint="eastAsia" w:ascii="宋体" w:hAnsi="宋体"/>
          <w:color w:val="auto"/>
          <w:sz w:val="32"/>
          <w:lang w:val="zh-CN"/>
        </w:rPr>
        <w:t>规划纲要》和《国务院关于实施健康中国行动的意见》，完善健康中国建设推进协调机制，保障健康中国行动有效实施，制定本方案。</w:t>
      </w:r>
    </w:p>
    <w:p>
      <w:pPr>
        <w:spacing w:beforeLines="0" w:afterLines="0" w:line="600" w:lineRule="atLeast"/>
        <w:ind w:firstLine="640"/>
        <w:rPr>
          <w:rFonts w:hint="eastAsia" w:ascii="黑体" w:hAnsi="黑体" w:eastAsia="黑体"/>
          <w:color w:val="auto"/>
          <w:sz w:val="32"/>
          <w:lang w:val="zh-CN"/>
        </w:rPr>
      </w:pPr>
      <w:r>
        <w:rPr>
          <w:rFonts w:hint="eastAsia" w:ascii="黑体" w:hAnsi="黑体" w:eastAsia="黑体"/>
          <w:color w:val="auto"/>
          <w:sz w:val="32"/>
          <w:lang w:val="zh-CN"/>
        </w:rPr>
        <w:t>一、建立健全组织架构</w:t>
      </w:r>
    </w:p>
    <w:p>
      <w:pPr>
        <w:spacing w:beforeLines="0" w:afterLines="0" w:line="600" w:lineRule="atLeast"/>
        <w:ind w:firstLine="643"/>
        <w:rPr>
          <w:rFonts w:hint="default" w:ascii="??_GB2312" w:hAnsi="??_GB2312" w:eastAsia="??_GB2312"/>
          <w:color w:val="auto"/>
          <w:sz w:val="32"/>
          <w:lang w:val="en-US"/>
        </w:rPr>
      </w:pPr>
      <w:r>
        <w:rPr>
          <w:rFonts w:hint="eastAsia" w:ascii="宋体" w:hAnsi="宋体"/>
          <w:b/>
          <w:color w:val="auto"/>
          <w:sz w:val="32"/>
          <w:lang w:val="zh-CN"/>
        </w:rPr>
        <w:t>（一）成立健康中国行动推进委员会。</w:t>
      </w:r>
      <w:r>
        <w:rPr>
          <w:rFonts w:hint="eastAsia" w:ascii="宋体" w:hAnsi="宋体"/>
          <w:color w:val="auto"/>
          <w:sz w:val="32"/>
          <w:lang w:val="zh-CN"/>
        </w:rPr>
        <w:t>依托全国爱国卫生运动委员会，国家层面成立健康中国行动推进委员会（以下简称推进委员会），制定印发《健康中国行动（</w:t>
      </w:r>
      <w:r>
        <w:rPr>
          <w:rFonts w:hint="default" w:ascii="??_GB2312" w:hAnsi="??_GB2312" w:eastAsia="??_GB2312"/>
          <w:color w:val="auto"/>
          <w:sz w:val="32"/>
          <w:lang w:val="en-US"/>
        </w:rPr>
        <w:t>2019</w:t>
      </w:r>
      <w:r>
        <w:rPr>
          <w:rFonts w:hint="default" w:ascii="宋体" w:hAnsi="宋体"/>
          <w:color w:val="auto"/>
          <w:sz w:val="32"/>
          <w:lang w:val="zh-CN"/>
        </w:rPr>
        <w:t>—</w:t>
      </w:r>
      <w:r>
        <w:rPr>
          <w:rFonts w:hint="default" w:ascii="??_GB2312" w:hAnsi="??_GB2312" w:eastAsia="??_GB2312"/>
          <w:color w:val="auto"/>
          <w:sz w:val="32"/>
          <w:lang w:val="en-US"/>
        </w:rPr>
        <w:t>2030</w:t>
      </w:r>
      <w:r>
        <w:rPr>
          <w:rFonts w:hint="eastAsia" w:ascii="宋体" w:hAnsi="宋体"/>
          <w:color w:val="auto"/>
          <w:sz w:val="32"/>
          <w:lang w:val="zh-CN"/>
        </w:rPr>
        <w:t>年）》（以下简称《健康中国行动》），统筹推进组织实施、监测和考核相关工作。</w:t>
      </w:r>
    </w:p>
    <w:p>
      <w:pPr>
        <w:spacing w:beforeLines="0" w:afterLines="0" w:line="600" w:lineRule="atLeast"/>
        <w:ind w:firstLine="640"/>
        <w:rPr>
          <w:rFonts w:hint="default" w:ascii="??_GB2312" w:hAnsi="??_GB2312" w:eastAsia="??_GB2312"/>
          <w:color w:val="auto"/>
          <w:sz w:val="32"/>
          <w:lang w:val="en-US"/>
        </w:rPr>
      </w:pPr>
      <w:r>
        <w:rPr>
          <w:rFonts w:hint="eastAsia" w:ascii="宋体" w:hAnsi="宋体"/>
          <w:color w:val="auto"/>
          <w:sz w:val="32"/>
          <w:lang w:val="zh-CN"/>
        </w:rPr>
        <w:t>推进委员会主任由国务院分管领导同志担任，副主任由国家卫生健康委主要负责同志、国务院分管副秘书长以及教育、体育等相关部门负责同志担任，秘书长由国务院分管副秘书长、国家卫生健康委负责同志担任，委员由相关部门负责同志、专家、全国人大代表、全国政协委员和社会知名人士等担任。推进委员会办公室设在国家卫生健康委。</w:t>
      </w:r>
    </w:p>
    <w:p>
      <w:pPr>
        <w:spacing w:beforeLines="0" w:afterLines="0" w:line="600" w:lineRule="atLeast"/>
        <w:ind w:firstLine="640"/>
        <w:rPr>
          <w:rFonts w:hint="default" w:ascii="??_GB2312" w:hAnsi="??_GB2312" w:eastAsia="??_GB2312"/>
          <w:color w:val="auto"/>
          <w:sz w:val="32"/>
          <w:lang w:val="en-US"/>
        </w:rPr>
      </w:pPr>
      <w:r>
        <w:rPr>
          <w:rFonts w:hint="eastAsia" w:ascii="宋体" w:hAnsi="宋体"/>
          <w:color w:val="auto"/>
          <w:sz w:val="32"/>
          <w:lang w:val="zh-CN"/>
        </w:rPr>
        <w:t>推进委员会设立专家咨询委员会，由推进委员会聘请相关领域专家组成，负责为健康中国行动推进实施提供技术支持。</w:t>
      </w:r>
    </w:p>
    <w:p>
      <w:pPr>
        <w:spacing w:beforeLines="0" w:afterLines="0" w:line="600" w:lineRule="atLeast"/>
        <w:ind w:firstLine="640"/>
        <w:rPr>
          <w:rFonts w:hint="default" w:ascii="??_GB2312" w:hAnsi="??_GB2312" w:eastAsia="??_GB2312"/>
          <w:color w:val="auto"/>
          <w:sz w:val="32"/>
          <w:lang w:val="en-US"/>
        </w:rPr>
      </w:pPr>
      <w:r>
        <w:rPr>
          <w:rFonts w:hint="eastAsia" w:ascii="宋体" w:hAnsi="宋体"/>
          <w:color w:val="auto"/>
          <w:sz w:val="32"/>
          <w:lang w:val="zh-CN"/>
        </w:rPr>
        <w:t>推进委员会下设各专项行动工作组，负责专项行动的具体实施和监测工作。</w:t>
      </w:r>
    </w:p>
    <w:p>
      <w:pPr>
        <w:spacing w:beforeLines="0" w:afterLines="0" w:line="600" w:lineRule="atLeast"/>
        <w:ind w:firstLine="640"/>
        <w:rPr>
          <w:rFonts w:hint="default" w:ascii="??_GB2312" w:hAnsi="??_GB2312" w:eastAsia="??_GB2312"/>
          <w:color w:val="auto"/>
          <w:sz w:val="32"/>
          <w:lang w:val="en-US"/>
        </w:rPr>
      </w:pPr>
      <w:r>
        <w:rPr>
          <w:rFonts w:hint="eastAsia" w:ascii="宋体" w:hAnsi="宋体"/>
          <w:color w:val="auto"/>
          <w:sz w:val="32"/>
          <w:lang w:val="zh-CN"/>
        </w:rPr>
        <w:t>各省（自治区、直辖市）可参照国家层面的组织架构，组建或明确推进《健康中国行动》实施的议事机构，根据《健康中国行动》要求和本地实际情况研究制定具体行动方案并组织实施。</w:t>
      </w:r>
    </w:p>
    <w:p>
      <w:pPr>
        <w:spacing w:beforeLines="0" w:afterLines="0" w:line="600" w:lineRule="atLeast"/>
        <w:ind w:firstLine="643"/>
        <w:rPr>
          <w:rFonts w:hint="default" w:ascii="??_GB2312" w:hAnsi="??_GB2312" w:eastAsia="??_GB2312"/>
          <w:color w:val="auto"/>
          <w:sz w:val="32"/>
          <w:lang w:val="en-US"/>
        </w:rPr>
      </w:pPr>
      <w:r>
        <w:rPr>
          <w:rFonts w:hint="eastAsia" w:ascii="宋体" w:hAnsi="宋体"/>
          <w:b/>
          <w:color w:val="auto"/>
          <w:sz w:val="32"/>
          <w:lang w:val="zh-CN"/>
        </w:rPr>
        <w:t>（二）工作机制。</w:t>
      </w:r>
      <w:r>
        <w:rPr>
          <w:rFonts w:hint="eastAsia" w:ascii="宋体" w:hAnsi="宋体"/>
          <w:color w:val="auto"/>
          <w:sz w:val="32"/>
          <w:lang w:val="zh-CN"/>
        </w:rPr>
        <w:t>推进委员会根据工作需要定期或不定期召开会议，包括全体会议、主任办公会议和办公室会议。</w:t>
      </w:r>
    </w:p>
    <w:p>
      <w:pPr>
        <w:spacing w:beforeLines="0" w:afterLines="0" w:line="600" w:lineRule="atLeast"/>
        <w:ind w:firstLine="640"/>
        <w:rPr>
          <w:rFonts w:hint="default" w:ascii="??_GB2312" w:hAnsi="??_GB2312" w:eastAsia="??_GB2312"/>
          <w:color w:val="auto"/>
          <w:sz w:val="32"/>
          <w:lang w:val="en-US"/>
        </w:rPr>
      </w:pPr>
      <w:r>
        <w:rPr>
          <w:rFonts w:hint="eastAsia" w:ascii="宋体" w:hAnsi="宋体"/>
          <w:color w:val="auto"/>
          <w:sz w:val="32"/>
          <w:lang w:val="zh-CN"/>
        </w:rPr>
        <w:t>推进委员会负责研究确定年度工作重点，并协调推进各地区各部门工作落实，及时处理需要跨部门协调解决的问题；建立指标体系，并组织监测和考核；深入开展调查研究，对健康教育和重大疾病预防、治疗、康复、健康促进等提出指导性意见；根据疾病谱变化及医学进步等情况，研究适时调整指标、行动内容；推动成立基金会，形成健康中国建设资金来源多元化的保障机制；运用健康频道、网站、微信、微博、移动客户端以及短视频等新媒体方式，加强健康科普和信息传播。</w:t>
      </w:r>
    </w:p>
    <w:p>
      <w:pPr>
        <w:spacing w:beforeLines="0" w:afterLines="0" w:line="600" w:lineRule="atLeast"/>
        <w:ind w:firstLine="640"/>
        <w:rPr>
          <w:rFonts w:hint="default" w:ascii="??_GB2312" w:hAnsi="??_GB2312" w:eastAsia="??_GB2312"/>
          <w:color w:val="auto"/>
          <w:sz w:val="32"/>
          <w:lang w:val="en-US"/>
        </w:rPr>
      </w:pPr>
      <w:r>
        <w:rPr>
          <w:rFonts w:hint="eastAsia" w:ascii="宋体" w:hAnsi="宋体"/>
          <w:color w:val="auto"/>
          <w:sz w:val="32"/>
          <w:lang w:val="zh-CN"/>
        </w:rPr>
        <w:t>各有关部门要积极研究实施健康中国战略的重大问题，及时制定并落实《健康中国行动》的具体政策措施；提出年度任务建议并按照部署抓好工作落实；做好《健康中国行动》的宣传解读；认真落实全体会议、主任办公会议确定的工作任务和议定事项；互通信息，互相支持，密切配合，形成合力，共同推进健康中国建设各项工作。</w:t>
      </w:r>
    </w:p>
    <w:p>
      <w:pPr>
        <w:spacing w:beforeLines="0" w:afterLines="0" w:line="600" w:lineRule="atLeast"/>
        <w:ind w:firstLine="640"/>
        <w:rPr>
          <w:rFonts w:hint="eastAsia" w:ascii="黑体" w:hAnsi="黑体" w:eastAsia="黑体"/>
          <w:color w:val="auto"/>
          <w:sz w:val="32"/>
          <w:lang w:val="zh-CN"/>
        </w:rPr>
      </w:pPr>
      <w:r>
        <w:rPr>
          <w:rFonts w:hint="eastAsia" w:ascii="黑体" w:hAnsi="黑体" w:eastAsia="黑体"/>
          <w:color w:val="auto"/>
          <w:sz w:val="32"/>
          <w:lang w:val="zh-CN"/>
        </w:rPr>
        <w:t>二、加强监测评估</w:t>
      </w:r>
    </w:p>
    <w:p>
      <w:pPr>
        <w:spacing w:beforeLines="0" w:afterLines="0" w:line="600" w:lineRule="atLeast"/>
        <w:ind w:firstLine="643"/>
        <w:rPr>
          <w:rFonts w:hint="default" w:ascii="??_GB2312" w:hAnsi="??_GB2312" w:eastAsia="??_GB2312"/>
          <w:color w:val="auto"/>
          <w:sz w:val="32"/>
          <w:lang w:val="en-US"/>
        </w:rPr>
      </w:pPr>
      <w:r>
        <w:rPr>
          <w:rFonts w:hint="eastAsia" w:ascii="宋体" w:hAnsi="宋体"/>
          <w:b/>
          <w:color w:val="auto"/>
          <w:sz w:val="32"/>
          <w:lang w:val="zh-CN"/>
        </w:rPr>
        <w:t>（一）监测主体。</w:t>
      </w:r>
      <w:r>
        <w:rPr>
          <w:rFonts w:hint="eastAsia" w:ascii="宋体" w:hAnsi="宋体"/>
          <w:color w:val="auto"/>
          <w:sz w:val="32"/>
          <w:lang w:val="zh-CN"/>
        </w:rPr>
        <w:t>监测评估工作由推进委员会统筹领导，各专项行动工作组负责具体组织实施，专家咨询委员会提供技术支撑。各省（区、市）按要求制定本地区监测评估办法。</w:t>
      </w:r>
    </w:p>
    <w:p>
      <w:pPr>
        <w:spacing w:beforeLines="0" w:afterLines="0" w:line="600" w:lineRule="atLeast"/>
        <w:ind w:firstLine="643"/>
        <w:rPr>
          <w:rFonts w:hint="default" w:ascii="??_GB2312" w:hAnsi="??_GB2312" w:eastAsia="??_GB2312"/>
          <w:color w:val="auto"/>
          <w:sz w:val="32"/>
          <w:lang w:val="en-US"/>
        </w:rPr>
      </w:pPr>
      <w:r>
        <w:rPr>
          <w:rFonts w:hint="eastAsia" w:ascii="宋体" w:hAnsi="宋体"/>
          <w:b/>
          <w:color w:val="auto"/>
          <w:sz w:val="32"/>
          <w:lang w:val="zh-CN"/>
        </w:rPr>
        <w:t>（二）监测内容。</w:t>
      </w:r>
      <w:r>
        <w:rPr>
          <w:rFonts w:hint="eastAsia" w:ascii="宋体" w:hAnsi="宋体"/>
          <w:color w:val="auto"/>
          <w:sz w:val="32"/>
          <w:lang w:val="zh-CN"/>
        </w:rPr>
        <w:t>以现有统计数据为基础，完善统计监测体系，依托互联网和大数据，对主要指标、重点任务的实施进度进行年度监测。监测主要内容包括：各专项行动主要指标（包括结果性指标、个人和社会倡导性指标、政府工作性指标）的年度进展情况，专项行动目标实现情况，个人、社会和政府各项任务的落实情况。</w:t>
      </w:r>
    </w:p>
    <w:p>
      <w:pPr>
        <w:spacing w:beforeLines="0" w:afterLines="0" w:line="600" w:lineRule="atLeast"/>
        <w:ind w:firstLine="643"/>
        <w:rPr>
          <w:rFonts w:hint="default" w:ascii="??_GB2312" w:hAnsi="??_GB2312" w:eastAsia="??_GB2312"/>
          <w:color w:val="auto"/>
          <w:sz w:val="32"/>
          <w:lang w:val="en-US"/>
        </w:rPr>
      </w:pPr>
      <w:r>
        <w:rPr>
          <w:rFonts w:hint="eastAsia" w:ascii="宋体" w:hAnsi="宋体"/>
          <w:b/>
          <w:color w:val="auto"/>
          <w:sz w:val="32"/>
          <w:lang w:val="zh-CN"/>
        </w:rPr>
        <w:t>（三）结果运用。</w:t>
      </w:r>
      <w:r>
        <w:rPr>
          <w:rFonts w:hint="eastAsia" w:ascii="宋体" w:hAnsi="宋体"/>
          <w:color w:val="auto"/>
          <w:sz w:val="32"/>
          <w:lang w:val="zh-CN"/>
        </w:rPr>
        <w:t>各专项行动工作组根据监测情况每年形成各专项行动实施进展专题报告。推进委员会办公室组织形成总体监测评估报告，经推进委员会同意后上报国务院并通报各省（区、市）党委、政府和各有关部门，适时发布监测评估报告。</w:t>
      </w:r>
    </w:p>
    <w:p>
      <w:pPr>
        <w:spacing w:beforeLines="0" w:afterLines="0" w:line="600" w:lineRule="atLeast"/>
        <w:ind w:firstLine="640"/>
        <w:rPr>
          <w:rFonts w:hint="eastAsia" w:ascii="黑体" w:hAnsi="黑体" w:eastAsia="黑体"/>
          <w:color w:val="auto"/>
          <w:sz w:val="32"/>
          <w:lang w:val="zh-CN"/>
        </w:rPr>
      </w:pPr>
      <w:r>
        <w:rPr>
          <w:rFonts w:hint="eastAsia" w:ascii="黑体" w:hAnsi="黑体" w:eastAsia="黑体"/>
          <w:color w:val="auto"/>
          <w:sz w:val="32"/>
          <w:lang w:val="zh-CN"/>
        </w:rPr>
        <w:t>三、做好考核工作</w:t>
      </w:r>
    </w:p>
    <w:p>
      <w:pPr>
        <w:spacing w:beforeLines="0" w:afterLines="0" w:line="600" w:lineRule="atLeast"/>
        <w:ind w:firstLine="643"/>
        <w:rPr>
          <w:rFonts w:hint="default" w:ascii="??_GB2312" w:hAnsi="??_GB2312" w:eastAsia="??_GB2312"/>
          <w:color w:val="auto"/>
          <w:sz w:val="32"/>
          <w:lang w:val="en-US"/>
        </w:rPr>
      </w:pPr>
      <w:r>
        <w:rPr>
          <w:rFonts w:hint="eastAsia" w:ascii="宋体" w:hAnsi="宋体"/>
          <w:b/>
          <w:color w:val="auto"/>
          <w:sz w:val="32"/>
          <w:lang w:val="zh-CN"/>
        </w:rPr>
        <w:t>（一）考核主体。</w:t>
      </w:r>
      <w:r>
        <w:rPr>
          <w:rFonts w:hint="eastAsia" w:ascii="宋体" w:hAnsi="宋体"/>
          <w:color w:val="auto"/>
          <w:sz w:val="32"/>
          <w:lang w:val="zh-CN"/>
        </w:rPr>
        <w:t>考核工作由推进委员会统筹领导，推进委员会办公室负责具体组织实施，专家咨询委员会提供技术支撑。各省（区、市）党委和政府结合本地区实际，制定针对下一级党委和政府的考核办法，并细化落实到具体地方和单位。</w:t>
      </w:r>
    </w:p>
    <w:p>
      <w:pPr>
        <w:spacing w:beforeLines="0" w:afterLines="0" w:line="600" w:lineRule="atLeast"/>
        <w:ind w:firstLine="643"/>
        <w:rPr>
          <w:rFonts w:hint="default" w:ascii="??_GB2312" w:hAnsi="??_GB2312" w:eastAsia="??_GB2312"/>
          <w:color w:val="auto"/>
          <w:sz w:val="32"/>
          <w:lang w:val="en-US"/>
        </w:rPr>
      </w:pPr>
      <w:r>
        <w:rPr>
          <w:rFonts w:hint="eastAsia" w:ascii="宋体" w:hAnsi="宋体"/>
          <w:b/>
          <w:color w:val="auto"/>
          <w:sz w:val="32"/>
          <w:lang w:val="zh-CN"/>
        </w:rPr>
        <w:t>（二）考核内容。</w:t>
      </w:r>
      <w:r>
        <w:rPr>
          <w:rFonts w:hint="eastAsia" w:ascii="宋体" w:hAnsi="宋体"/>
          <w:color w:val="auto"/>
          <w:sz w:val="32"/>
          <w:lang w:val="zh-CN"/>
        </w:rPr>
        <w:t>围绕健康中国建设主要目标任务要求，同时兼顾数据的可获得性，建立相对稳定的考核指标框架（见附表）。各省（区、市）在对下一级进行考核时，可根据本地实际情况对考核指标进行调整完善。</w:t>
      </w:r>
    </w:p>
    <w:p>
      <w:pPr>
        <w:spacing w:beforeLines="0" w:afterLines="0" w:line="600" w:lineRule="atLeast"/>
        <w:ind w:firstLine="640"/>
        <w:rPr>
          <w:rFonts w:hint="default" w:ascii="??_GB2312" w:hAnsi="??_GB2312" w:eastAsia="??_GB2312"/>
          <w:color w:val="auto"/>
          <w:sz w:val="32"/>
          <w:lang w:val="en-US"/>
        </w:rPr>
      </w:pPr>
      <w:r>
        <w:rPr>
          <w:rFonts w:hint="default" w:ascii="??_GB2312" w:hAnsi="??_GB2312" w:eastAsia="??_GB2312"/>
          <w:color w:val="auto"/>
          <w:sz w:val="32"/>
          <w:lang w:val="en-US"/>
        </w:rPr>
        <w:t>2019</w:t>
      </w:r>
      <w:r>
        <w:rPr>
          <w:rFonts w:hint="eastAsia" w:ascii="宋体" w:hAnsi="宋体"/>
          <w:color w:val="auto"/>
          <w:sz w:val="32"/>
          <w:lang w:val="zh-CN"/>
        </w:rPr>
        <w:t>年和</w:t>
      </w:r>
      <w:r>
        <w:rPr>
          <w:rFonts w:hint="default" w:ascii="??_GB2312" w:hAnsi="??_GB2312" w:eastAsia="??_GB2312"/>
          <w:color w:val="auto"/>
          <w:sz w:val="32"/>
          <w:lang w:val="en-US"/>
        </w:rPr>
        <w:t>2020</w:t>
      </w:r>
      <w:r>
        <w:rPr>
          <w:rFonts w:hint="eastAsia" w:ascii="宋体" w:hAnsi="宋体"/>
          <w:color w:val="auto"/>
          <w:sz w:val="32"/>
          <w:lang w:val="zh-CN"/>
        </w:rPr>
        <w:t>年进行试考核，通过两年的探索实践，逐步固定考核指标。要坚持科学考核，注意方式方法，力戒形式主义和官僚主义，不增加基层负担。</w:t>
      </w:r>
    </w:p>
    <w:p>
      <w:pPr>
        <w:spacing w:beforeLines="0" w:afterLines="0" w:line="600" w:lineRule="atLeast"/>
        <w:ind w:firstLine="643"/>
        <w:rPr>
          <w:rFonts w:hint="default" w:ascii="??_GB2312" w:hAnsi="??_GB2312" w:eastAsia="??_GB2312"/>
          <w:color w:val="auto"/>
          <w:sz w:val="32"/>
          <w:lang w:val="en-US"/>
        </w:rPr>
      </w:pPr>
      <w:r>
        <w:rPr>
          <w:rFonts w:hint="eastAsia" w:ascii="宋体" w:hAnsi="宋体"/>
          <w:b/>
          <w:color w:val="auto"/>
          <w:sz w:val="32"/>
          <w:lang w:val="zh-CN"/>
        </w:rPr>
        <w:t>（三）结果运用。</w:t>
      </w:r>
      <w:r>
        <w:rPr>
          <w:rFonts w:hint="eastAsia" w:ascii="宋体" w:hAnsi="宋体"/>
          <w:color w:val="auto"/>
          <w:sz w:val="32"/>
          <w:lang w:val="zh-CN"/>
        </w:rPr>
        <w:t>将主要健康指标纳入各级党委、政府绩效考核指标，综合考核结果经推进委员会审定后通报，作为各省（区、市）、各相关部门党政领导班子和领导干部综合考核评价、干部奖惩使用的重要参考。</w:t>
      </w:r>
    </w:p>
    <w:p>
      <w:pPr>
        <w:spacing w:beforeLines="0" w:afterLines="0" w:line="600" w:lineRule="atLeast"/>
        <w:ind w:firstLine="640"/>
        <w:rPr>
          <w:rFonts w:hint="default" w:ascii="??_GB2312" w:hAnsi="??_GB2312" w:eastAsia="??_GB2312"/>
          <w:color w:val="auto"/>
          <w:sz w:val="32"/>
          <w:lang w:val="en-US"/>
        </w:rPr>
      </w:pPr>
    </w:p>
    <w:p>
      <w:pPr>
        <w:spacing w:beforeLines="0" w:afterLines="0" w:line="600" w:lineRule="atLeast"/>
        <w:ind w:firstLine="640"/>
        <w:rPr>
          <w:rFonts w:hint="default" w:ascii="??_GB2312" w:hAnsi="??_GB2312" w:eastAsia="??_GB2312"/>
          <w:color w:val="auto"/>
          <w:sz w:val="32"/>
          <w:lang w:val="en-US"/>
        </w:rPr>
      </w:pPr>
      <w:r>
        <w:rPr>
          <w:rFonts w:hint="eastAsia" w:ascii="宋体" w:hAnsi="宋体"/>
          <w:color w:val="auto"/>
          <w:sz w:val="32"/>
          <w:lang w:val="zh-CN"/>
        </w:rPr>
        <w:t>附件：健康中国行动考核指标框架</w:t>
      </w:r>
    </w:p>
    <w:p>
      <w:pPr>
        <w:spacing w:beforeLines="0" w:afterLines="0"/>
        <w:jc w:val="left"/>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br w:type="page"/>
      </w:r>
      <w:r>
        <w:rPr>
          <w:rFonts w:hint="eastAsia" w:ascii="宋体" w:hAnsi="宋体"/>
          <w:color w:val="auto"/>
          <w:sz w:val="32"/>
          <w:lang w:val="zh-CN"/>
        </w:rPr>
        <w:t>附件</w:t>
      </w:r>
    </w:p>
    <w:p>
      <w:pPr>
        <w:spacing w:beforeLines="0" w:afterLines="0"/>
        <w:jc w:val="left"/>
        <w:rPr>
          <w:rFonts w:hint="default" w:ascii="Times New Roman" w:hAnsi="Times New Roman" w:eastAsia="Times New Roman"/>
          <w:color w:val="auto"/>
          <w:sz w:val="32"/>
          <w:lang w:val="en-US"/>
        </w:rPr>
      </w:pPr>
    </w:p>
    <w:p>
      <w:pPr>
        <w:spacing w:beforeLines="0" w:afterLines="0" w:line="360" w:lineRule="auto"/>
        <w:jc w:val="center"/>
        <w:rPr>
          <w:rFonts w:hint="default" w:ascii="Times New Roman" w:hAnsi="Times New Roman" w:eastAsia="Times New Roman"/>
          <w:b/>
          <w:color w:val="auto"/>
          <w:sz w:val="40"/>
          <w:lang w:val="en-US"/>
        </w:rPr>
      </w:pPr>
      <w:r>
        <w:rPr>
          <w:rFonts w:hint="eastAsia" w:ascii="宋体" w:hAnsi="宋体"/>
          <w:b/>
          <w:color w:val="auto"/>
          <w:sz w:val="40"/>
          <w:lang w:val="zh-CN"/>
        </w:rPr>
        <w:t>健康中国行动考核指标框架</w:t>
      </w:r>
    </w:p>
    <w:tbl>
      <w:tblPr>
        <w:tblStyle w:val="3"/>
        <w:tblW w:w="8869" w:type="dxa"/>
        <w:jc w:val="center"/>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6"/>
        <w:gridCol w:w="516"/>
        <w:gridCol w:w="4639"/>
        <w:gridCol w:w="1588"/>
        <w:gridCol w:w="12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886"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jc w:val="center"/>
              <w:rPr>
                <w:rFonts w:hint="eastAsia" w:ascii="宋体" w:hAnsi="宋体"/>
                <w:color w:val="auto"/>
                <w:sz w:val="22"/>
                <w:lang w:val="zh-CN"/>
              </w:rPr>
            </w:pPr>
            <w:r>
              <w:rPr>
                <w:rFonts w:hint="eastAsia" w:ascii="宋体" w:hAnsi="宋体"/>
                <w:color w:val="auto"/>
                <w:sz w:val="24"/>
                <w:lang w:val="zh-CN"/>
              </w:rPr>
              <w:t>考核依据</w:t>
            </w:r>
          </w:p>
        </w:tc>
        <w:tc>
          <w:tcPr>
            <w:tcW w:w="516"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jc w:val="center"/>
              <w:rPr>
                <w:rFonts w:hint="eastAsia" w:ascii="宋体" w:hAnsi="宋体"/>
                <w:color w:val="auto"/>
                <w:sz w:val="22"/>
                <w:lang w:val="zh-CN"/>
              </w:rPr>
            </w:pPr>
            <w:r>
              <w:rPr>
                <w:rFonts w:hint="eastAsia" w:ascii="宋体" w:hAnsi="宋体"/>
                <w:color w:val="auto"/>
                <w:sz w:val="24"/>
                <w:lang w:val="zh-CN"/>
              </w:rPr>
              <w:t>序号</w:t>
            </w:r>
          </w:p>
        </w:tc>
        <w:tc>
          <w:tcPr>
            <w:tcW w:w="4639"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jc w:val="center"/>
              <w:rPr>
                <w:rFonts w:hint="eastAsia" w:ascii="宋体" w:hAnsi="宋体"/>
                <w:color w:val="auto"/>
                <w:sz w:val="22"/>
                <w:lang w:val="zh-CN"/>
              </w:rPr>
            </w:pPr>
            <w:r>
              <w:rPr>
                <w:rFonts w:hint="eastAsia" w:ascii="宋体" w:hAnsi="宋体"/>
                <w:color w:val="auto"/>
                <w:sz w:val="24"/>
                <w:lang w:val="zh-CN"/>
              </w:rPr>
              <w:t>指</w:t>
            </w:r>
            <w:r>
              <w:rPr>
                <w:rFonts w:hint="default" w:ascii="Times New Roman" w:hAnsi="Times New Roman" w:eastAsia="Times New Roman"/>
                <w:color w:val="auto"/>
                <w:sz w:val="24"/>
                <w:lang w:val="en-US"/>
              </w:rPr>
              <w:t xml:space="preserve"> </w:t>
            </w:r>
            <w:r>
              <w:rPr>
                <w:rFonts w:hint="eastAsia" w:ascii="宋体" w:hAnsi="宋体"/>
                <w:color w:val="auto"/>
                <w:sz w:val="24"/>
                <w:lang w:val="zh-CN"/>
              </w:rPr>
              <w:t>标</w:t>
            </w:r>
          </w:p>
        </w:tc>
        <w:tc>
          <w:tcPr>
            <w:tcW w:w="1588"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jc w:val="center"/>
              <w:rPr>
                <w:rFonts w:hint="default" w:ascii="Times New Roman" w:hAnsi="Times New Roman" w:eastAsia="Times New Roman"/>
                <w:color w:val="auto"/>
                <w:sz w:val="24"/>
                <w:lang w:val="en-US"/>
              </w:rPr>
            </w:pPr>
            <w:r>
              <w:rPr>
                <w:rFonts w:hint="eastAsia" w:ascii="宋体" w:hAnsi="宋体"/>
                <w:color w:val="auto"/>
                <w:sz w:val="24"/>
                <w:lang w:val="zh-CN"/>
              </w:rPr>
              <w:t>基期</w:t>
            </w:r>
          </w:p>
          <w:p>
            <w:pPr>
              <w:spacing w:beforeLines="0" w:afterLines="0" w:line="276" w:lineRule="auto"/>
              <w:jc w:val="center"/>
              <w:rPr>
                <w:rFonts w:hint="eastAsia" w:ascii="宋体" w:hAnsi="宋体"/>
                <w:color w:val="auto"/>
                <w:sz w:val="22"/>
                <w:lang w:val="zh-CN"/>
              </w:rPr>
            </w:pPr>
            <w:r>
              <w:rPr>
                <w:rFonts w:hint="eastAsia" w:ascii="宋体" w:hAnsi="宋体"/>
                <w:color w:val="auto"/>
                <w:sz w:val="24"/>
                <w:lang w:val="zh-CN"/>
              </w:rPr>
              <w:t>水平</w:t>
            </w:r>
          </w:p>
        </w:tc>
        <w:tc>
          <w:tcPr>
            <w:tcW w:w="1240"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jc w:val="center"/>
              <w:rPr>
                <w:rFonts w:hint="eastAsia" w:ascii="宋体" w:hAnsi="宋体"/>
                <w:color w:val="auto"/>
                <w:sz w:val="22"/>
                <w:lang w:val="zh-CN"/>
              </w:rPr>
            </w:pPr>
            <w:r>
              <w:rPr>
                <w:rFonts w:hint="default" w:ascii="Times New Roman" w:hAnsi="Times New Roman" w:eastAsia="Times New Roman"/>
                <w:color w:val="auto"/>
                <w:sz w:val="24"/>
                <w:lang w:val="en-US"/>
              </w:rPr>
              <w:t>2022</w:t>
            </w:r>
            <w:r>
              <w:rPr>
                <w:rFonts w:hint="eastAsia" w:ascii="宋体" w:hAnsi="宋体"/>
                <w:color w:val="auto"/>
                <w:sz w:val="24"/>
                <w:lang w:val="zh-CN"/>
              </w:rPr>
              <w:t>年全国目标值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886"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rPr>
                <w:rFonts w:hint="eastAsia" w:ascii="宋体" w:hAnsi="宋体"/>
                <w:color w:val="auto"/>
                <w:sz w:val="22"/>
                <w:lang w:val="zh-CN"/>
              </w:rPr>
            </w:pPr>
            <w:r>
              <w:rPr>
                <w:rFonts w:hint="eastAsia" w:ascii="宋体" w:hAnsi="宋体"/>
                <w:color w:val="auto"/>
                <w:spacing w:val="-12"/>
                <w:sz w:val="24"/>
                <w:lang w:val="zh-CN"/>
              </w:rPr>
              <w:t>《</w:t>
            </w:r>
            <w:r>
              <w:rPr>
                <w:rFonts w:hint="default" w:ascii="宋体" w:hAnsi="宋体"/>
                <w:color w:val="auto"/>
                <w:spacing w:val="-12"/>
                <w:sz w:val="24"/>
                <w:lang w:val="zh-CN"/>
              </w:rPr>
              <w:t>“</w:t>
            </w:r>
            <w:r>
              <w:rPr>
                <w:rFonts w:hint="eastAsia" w:ascii="宋体" w:hAnsi="宋体"/>
                <w:color w:val="auto"/>
                <w:spacing w:val="-12"/>
                <w:sz w:val="24"/>
                <w:lang w:val="zh-CN"/>
              </w:rPr>
              <w:t>健康中国</w:t>
            </w:r>
            <w:r>
              <w:rPr>
                <w:rFonts w:hint="default" w:ascii="Times New Roman" w:hAnsi="Times New Roman" w:eastAsia="Times New Roman"/>
                <w:color w:val="auto"/>
                <w:spacing w:val="-12"/>
                <w:sz w:val="24"/>
                <w:lang w:val="en-US"/>
              </w:rPr>
              <w:t>2030”</w:t>
            </w:r>
            <w:r>
              <w:rPr>
                <w:rFonts w:hint="eastAsia" w:ascii="宋体" w:hAnsi="宋体"/>
                <w:color w:val="auto"/>
                <w:spacing w:val="-12"/>
                <w:sz w:val="24"/>
                <w:lang w:val="zh-CN"/>
              </w:rPr>
              <w:t>规划纲要》</w:t>
            </w:r>
          </w:p>
        </w:tc>
        <w:tc>
          <w:tcPr>
            <w:tcW w:w="516"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tabs>
                <w:tab w:val="left" w:pos="704"/>
              </w:tabs>
              <w:spacing w:beforeLines="0" w:afterLines="0" w:line="276" w:lineRule="auto"/>
              <w:jc w:val="center"/>
              <w:rPr>
                <w:rFonts w:hint="eastAsia" w:ascii="宋体" w:hAnsi="宋体"/>
                <w:color w:val="auto"/>
                <w:sz w:val="22"/>
                <w:lang w:val="zh-CN"/>
              </w:rPr>
            </w:pPr>
          </w:p>
        </w:tc>
        <w:tc>
          <w:tcPr>
            <w:tcW w:w="4639"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rPr>
                <w:rFonts w:hint="eastAsia" w:ascii="宋体" w:hAnsi="宋体"/>
                <w:color w:val="auto"/>
                <w:sz w:val="22"/>
                <w:lang w:val="zh-CN"/>
              </w:rPr>
            </w:pPr>
            <w:r>
              <w:rPr>
                <w:rFonts w:hint="eastAsia" w:ascii="宋体" w:hAnsi="宋体"/>
                <w:color w:val="auto"/>
                <w:sz w:val="24"/>
                <w:lang w:val="zh-CN"/>
              </w:rPr>
              <w:t>人均预期寿命（岁）</w:t>
            </w:r>
          </w:p>
        </w:tc>
        <w:tc>
          <w:tcPr>
            <w:tcW w:w="1588"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jc w:val="center"/>
              <w:rPr>
                <w:rFonts w:hint="eastAsia" w:ascii="宋体" w:hAnsi="宋体"/>
                <w:color w:val="auto"/>
                <w:sz w:val="22"/>
                <w:lang w:val="zh-CN"/>
              </w:rPr>
            </w:pPr>
            <w:r>
              <w:rPr>
                <w:rFonts w:hint="default" w:ascii="Times New Roman" w:hAnsi="Times New Roman" w:eastAsia="Times New Roman"/>
                <w:color w:val="auto"/>
                <w:sz w:val="24"/>
                <w:lang w:val="en-US"/>
              </w:rPr>
              <w:t>76.7</w:t>
            </w:r>
          </w:p>
        </w:tc>
        <w:tc>
          <w:tcPr>
            <w:tcW w:w="1240"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jc w:val="center"/>
              <w:rPr>
                <w:rFonts w:hint="eastAsia" w:ascii="宋体" w:hAnsi="宋体"/>
                <w:color w:val="auto"/>
                <w:sz w:val="22"/>
                <w:lang w:val="zh-CN"/>
              </w:rPr>
            </w:pPr>
            <w:r>
              <w:rPr>
                <w:rFonts w:hint="default" w:ascii="Times New Roman" w:hAnsi="Times New Roman" w:eastAsia="Times New Roman"/>
                <w:color w:val="auto"/>
                <w:sz w:val="24"/>
                <w:lang w:val="en-US"/>
              </w:rPr>
              <w:t>77.7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886"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516"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tabs>
                <w:tab w:val="left" w:pos="704"/>
              </w:tabs>
              <w:spacing w:beforeLines="0" w:afterLines="0" w:line="276" w:lineRule="auto"/>
              <w:jc w:val="center"/>
              <w:rPr>
                <w:rFonts w:hint="eastAsia" w:ascii="宋体" w:hAnsi="宋体"/>
                <w:color w:val="auto"/>
                <w:sz w:val="22"/>
                <w:lang w:val="zh-CN"/>
              </w:rPr>
            </w:pPr>
          </w:p>
        </w:tc>
        <w:tc>
          <w:tcPr>
            <w:tcW w:w="4639"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rPr>
                <w:rFonts w:hint="eastAsia" w:ascii="宋体" w:hAnsi="宋体"/>
                <w:color w:val="auto"/>
                <w:sz w:val="22"/>
                <w:lang w:val="zh-CN"/>
              </w:rPr>
            </w:pPr>
            <w:r>
              <w:rPr>
                <w:rFonts w:hint="eastAsia" w:ascii="宋体" w:hAnsi="宋体"/>
                <w:color w:val="auto"/>
                <w:sz w:val="24"/>
                <w:lang w:val="zh-CN"/>
              </w:rPr>
              <w:t>婴儿死亡率（‰）</w:t>
            </w:r>
          </w:p>
        </w:tc>
        <w:tc>
          <w:tcPr>
            <w:tcW w:w="1588"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jc w:val="center"/>
              <w:rPr>
                <w:rFonts w:hint="eastAsia" w:ascii="宋体" w:hAnsi="宋体"/>
                <w:color w:val="auto"/>
                <w:sz w:val="22"/>
                <w:lang w:val="zh-CN"/>
              </w:rPr>
            </w:pPr>
            <w:r>
              <w:rPr>
                <w:rFonts w:hint="default" w:ascii="Times New Roman" w:hAnsi="Times New Roman" w:eastAsia="Times New Roman"/>
                <w:color w:val="auto"/>
                <w:sz w:val="24"/>
                <w:lang w:val="en-US"/>
              </w:rPr>
              <w:t>6.8</w:t>
            </w:r>
          </w:p>
        </w:tc>
        <w:tc>
          <w:tcPr>
            <w:tcW w:w="1240"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jc w:val="center"/>
              <w:rPr>
                <w:rFonts w:hint="eastAsia" w:ascii="宋体" w:hAnsi="宋体"/>
                <w:color w:val="auto"/>
                <w:sz w:val="22"/>
                <w:lang w:val="zh-CN"/>
              </w:rPr>
            </w:pPr>
            <w:r>
              <w:rPr>
                <w:rFonts w:hint="eastAsia" w:ascii="宋体" w:hAnsi="宋体"/>
                <w:color w:val="auto"/>
                <w:sz w:val="24"/>
                <w:lang w:val="zh-CN"/>
              </w:rPr>
              <w:t>≤</w:t>
            </w:r>
            <w:r>
              <w:rPr>
                <w:rFonts w:hint="default" w:ascii="Times New Roman" w:hAnsi="Times New Roman" w:eastAsia="Times New Roman"/>
                <w:color w:val="auto"/>
                <w:sz w:val="24"/>
                <w:lang w:val="en-US"/>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886"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516"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tabs>
                <w:tab w:val="left" w:pos="704"/>
              </w:tabs>
              <w:spacing w:beforeLines="0" w:afterLines="0" w:line="276" w:lineRule="auto"/>
              <w:jc w:val="center"/>
              <w:rPr>
                <w:rFonts w:hint="eastAsia" w:ascii="宋体" w:hAnsi="宋体"/>
                <w:color w:val="auto"/>
                <w:sz w:val="22"/>
                <w:lang w:val="zh-CN"/>
              </w:rPr>
            </w:pPr>
          </w:p>
        </w:tc>
        <w:tc>
          <w:tcPr>
            <w:tcW w:w="4639"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rPr>
                <w:rFonts w:hint="eastAsia" w:ascii="宋体" w:hAnsi="宋体"/>
                <w:color w:val="auto"/>
                <w:sz w:val="22"/>
                <w:lang w:val="zh-CN"/>
              </w:rPr>
            </w:pPr>
            <w:r>
              <w:rPr>
                <w:rFonts w:hint="default" w:ascii="Times New Roman" w:hAnsi="Times New Roman" w:eastAsia="Times New Roman"/>
                <w:color w:val="auto"/>
                <w:sz w:val="24"/>
                <w:lang w:val="en-US"/>
              </w:rPr>
              <w:t>5</w:t>
            </w:r>
            <w:r>
              <w:rPr>
                <w:rFonts w:hint="eastAsia" w:ascii="宋体" w:hAnsi="宋体"/>
                <w:color w:val="auto"/>
                <w:sz w:val="24"/>
                <w:lang w:val="zh-CN"/>
              </w:rPr>
              <w:t>岁以下儿童死亡率（‰）</w:t>
            </w:r>
          </w:p>
        </w:tc>
        <w:tc>
          <w:tcPr>
            <w:tcW w:w="1588"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jc w:val="center"/>
              <w:rPr>
                <w:rFonts w:hint="eastAsia" w:ascii="宋体" w:hAnsi="宋体"/>
                <w:color w:val="auto"/>
                <w:sz w:val="22"/>
                <w:lang w:val="zh-CN"/>
              </w:rPr>
            </w:pPr>
            <w:r>
              <w:rPr>
                <w:rFonts w:hint="default" w:ascii="Times New Roman" w:hAnsi="Times New Roman" w:eastAsia="Times New Roman"/>
                <w:color w:val="auto"/>
                <w:sz w:val="24"/>
                <w:lang w:val="en-US"/>
              </w:rPr>
              <w:t>9.1</w:t>
            </w:r>
          </w:p>
        </w:tc>
        <w:tc>
          <w:tcPr>
            <w:tcW w:w="1240"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jc w:val="center"/>
              <w:rPr>
                <w:rFonts w:hint="eastAsia" w:ascii="宋体" w:hAnsi="宋体"/>
                <w:color w:val="auto"/>
                <w:sz w:val="22"/>
                <w:lang w:val="zh-CN"/>
              </w:rPr>
            </w:pPr>
            <w:r>
              <w:rPr>
                <w:rFonts w:hint="eastAsia" w:ascii="宋体" w:hAnsi="宋体"/>
                <w:color w:val="auto"/>
                <w:sz w:val="24"/>
                <w:lang w:val="zh-CN"/>
              </w:rPr>
              <w:t>≤</w:t>
            </w:r>
            <w:r>
              <w:rPr>
                <w:rFonts w:hint="default" w:ascii="Times New Roman" w:hAnsi="Times New Roman" w:eastAsia="Times New Roman"/>
                <w:color w:val="auto"/>
                <w:sz w:val="24"/>
                <w:lang w:val="en-US"/>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886"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516"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tabs>
                <w:tab w:val="left" w:pos="704"/>
              </w:tabs>
              <w:spacing w:beforeLines="0" w:afterLines="0" w:line="276" w:lineRule="auto"/>
              <w:jc w:val="center"/>
              <w:rPr>
                <w:rFonts w:hint="eastAsia" w:ascii="宋体" w:hAnsi="宋体"/>
                <w:color w:val="auto"/>
                <w:sz w:val="22"/>
                <w:lang w:val="zh-CN"/>
              </w:rPr>
            </w:pPr>
          </w:p>
        </w:tc>
        <w:tc>
          <w:tcPr>
            <w:tcW w:w="4639"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rPr>
                <w:rFonts w:hint="eastAsia" w:ascii="宋体" w:hAnsi="宋体"/>
                <w:color w:val="auto"/>
                <w:sz w:val="22"/>
                <w:lang w:val="zh-CN"/>
              </w:rPr>
            </w:pPr>
            <w:r>
              <w:rPr>
                <w:rFonts w:hint="eastAsia" w:ascii="宋体" w:hAnsi="宋体"/>
                <w:color w:val="auto"/>
                <w:sz w:val="24"/>
                <w:lang w:val="zh-CN"/>
              </w:rPr>
              <w:t>孕产妇死亡率（</w:t>
            </w:r>
            <w:r>
              <w:rPr>
                <w:rFonts w:hint="default" w:ascii="Times New Roman" w:hAnsi="Times New Roman" w:eastAsia="Times New Roman"/>
                <w:color w:val="auto"/>
                <w:sz w:val="24"/>
                <w:lang w:val="en-US"/>
              </w:rPr>
              <w:t>1/10</w:t>
            </w:r>
            <w:r>
              <w:rPr>
                <w:rFonts w:hint="eastAsia" w:ascii="宋体" w:hAnsi="宋体"/>
                <w:color w:val="auto"/>
                <w:sz w:val="24"/>
                <w:lang w:val="zh-CN"/>
              </w:rPr>
              <w:t>万）</w:t>
            </w:r>
          </w:p>
        </w:tc>
        <w:tc>
          <w:tcPr>
            <w:tcW w:w="1588"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jc w:val="center"/>
              <w:rPr>
                <w:rFonts w:hint="eastAsia" w:ascii="宋体" w:hAnsi="宋体"/>
                <w:color w:val="auto"/>
                <w:sz w:val="22"/>
                <w:lang w:val="zh-CN"/>
              </w:rPr>
            </w:pPr>
            <w:r>
              <w:rPr>
                <w:rFonts w:hint="default" w:ascii="Times New Roman" w:hAnsi="Times New Roman" w:eastAsia="Times New Roman"/>
                <w:color w:val="auto"/>
                <w:sz w:val="24"/>
                <w:lang w:val="en-US"/>
              </w:rPr>
              <w:t>19.6</w:t>
            </w:r>
          </w:p>
        </w:tc>
        <w:tc>
          <w:tcPr>
            <w:tcW w:w="1240"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jc w:val="center"/>
              <w:rPr>
                <w:rFonts w:hint="eastAsia" w:ascii="宋体" w:hAnsi="宋体"/>
                <w:color w:val="auto"/>
                <w:sz w:val="22"/>
                <w:lang w:val="zh-CN"/>
              </w:rPr>
            </w:pPr>
            <w:r>
              <w:rPr>
                <w:rFonts w:hint="eastAsia" w:ascii="宋体" w:hAnsi="宋体"/>
                <w:color w:val="auto"/>
                <w:sz w:val="24"/>
                <w:lang w:val="zh-CN"/>
              </w:rPr>
              <w:t>≤</w:t>
            </w:r>
            <w:r>
              <w:rPr>
                <w:rFonts w:hint="default" w:ascii="Times New Roman" w:hAnsi="Times New Roman" w:eastAsia="Times New Roman"/>
                <w:color w:val="auto"/>
                <w:sz w:val="24"/>
                <w:lang w:val="en-US"/>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886"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516"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tabs>
                <w:tab w:val="left" w:pos="704"/>
              </w:tabs>
              <w:spacing w:beforeLines="0" w:afterLines="0" w:line="276" w:lineRule="auto"/>
              <w:jc w:val="center"/>
              <w:rPr>
                <w:rFonts w:hint="eastAsia" w:ascii="宋体" w:hAnsi="宋体"/>
                <w:color w:val="auto"/>
                <w:sz w:val="22"/>
                <w:lang w:val="zh-CN"/>
              </w:rPr>
            </w:pPr>
          </w:p>
        </w:tc>
        <w:tc>
          <w:tcPr>
            <w:tcW w:w="4639"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rPr>
                <w:rFonts w:hint="eastAsia" w:ascii="宋体" w:hAnsi="宋体"/>
                <w:color w:val="auto"/>
                <w:sz w:val="22"/>
                <w:lang w:val="zh-CN"/>
              </w:rPr>
            </w:pPr>
            <w:r>
              <w:rPr>
                <w:rFonts w:hint="eastAsia" w:ascii="宋体" w:hAnsi="宋体"/>
                <w:color w:val="auto"/>
                <w:sz w:val="24"/>
                <w:lang w:val="zh-CN"/>
              </w:rPr>
              <w:t>城乡居民达到《国民体质测定标准》合格以上的人数比例（</w:t>
            </w:r>
            <w:r>
              <w:rPr>
                <w:rFonts w:hint="default" w:ascii="Times New Roman" w:hAnsi="Times New Roman" w:eastAsia="Times New Roman"/>
                <w:color w:val="auto"/>
                <w:sz w:val="24"/>
                <w:lang w:val="en-US"/>
              </w:rPr>
              <w:t>%</w:t>
            </w:r>
            <w:r>
              <w:rPr>
                <w:rFonts w:hint="eastAsia" w:ascii="宋体" w:hAnsi="宋体"/>
                <w:color w:val="auto"/>
                <w:sz w:val="24"/>
                <w:lang w:val="zh-CN"/>
              </w:rPr>
              <w:t>）</w:t>
            </w:r>
          </w:p>
        </w:tc>
        <w:tc>
          <w:tcPr>
            <w:tcW w:w="1588"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jc w:val="center"/>
              <w:rPr>
                <w:rFonts w:hint="eastAsia" w:ascii="宋体" w:hAnsi="宋体"/>
                <w:color w:val="auto"/>
                <w:sz w:val="22"/>
                <w:lang w:val="zh-CN"/>
              </w:rPr>
            </w:pPr>
            <w:r>
              <w:rPr>
                <w:rFonts w:hint="default" w:ascii="Times New Roman" w:hAnsi="Times New Roman" w:eastAsia="Times New Roman"/>
                <w:color w:val="auto"/>
                <w:sz w:val="24"/>
                <w:lang w:val="en-US"/>
              </w:rPr>
              <w:t>2014</w:t>
            </w:r>
            <w:r>
              <w:rPr>
                <w:rFonts w:hint="eastAsia" w:ascii="宋体" w:hAnsi="宋体"/>
                <w:color w:val="auto"/>
                <w:sz w:val="24"/>
                <w:lang w:val="zh-CN"/>
              </w:rPr>
              <w:t>年为</w:t>
            </w:r>
            <w:r>
              <w:rPr>
                <w:rFonts w:hint="default" w:ascii="Times New Roman" w:hAnsi="Times New Roman" w:eastAsia="Times New Roman"/>
                <w:color w:val="auto"/>
                <w:sz w:val="24"/>
                <w:lang w:val="en-US"/>
              </w:rPr>
              <w:t>89.6</w:t>
            </w:r>
          </w:p>
        </w:tc>
        <w:tc>
          <w:tcPr>
            <w:tcW w:w="1240"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jc w:val="center"/>
              <w:rPr>
                <w:rFonts w:hint="eastAsia" w:ascii="宋体" w:hAnsi="宋体"/>
                <w:color w:val="auto"/>
                <w:sz w:val="22"/>
                <w:lang w:val="zh-CN"/>
              </w:rPr>
            </w:pPr>
            <w:r>
              <w:rPr>
                <w:rFonts w:hint="eastAsia" w:ascii="宋体" w:hAnsi="宋体"/>
                <w:color w:val="auto"/>
                <w:sz w:val="24"/>
                <w:lang w:val="zh-CN"/>
              </w:rPr>
              <w:t>≥</w:t>
            </w:r>
            <w:r>
              <w:rPr>
                <w:rFonts w:hint="default" w:ascii="Times New Roman" w:hAnsi="Times New Roman" w:eastAsia="Times New Roman"/>
                <w:color w:val="auto"/>
                <w:sz w:val="24"/>
                <w:lang w:val="en-US"/>
              </w:rPr>
              <w:t>90.86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886"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516"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tabs>
                <w:tab w:val="left" w:pos="704"/>
              </w:tabs>
              <w:spacing w:beforeLines="0" w:afterLines="0" w:line="276" w:lineRule="auto"/>
              <w:jc w:val="center"/>
              <w:rPr>
                <w:rFonts w:hint="eastAsia" w:ascii="宋体" w:hAnsi="宋体"/>
                <w:color w:val="auto"/>
                <w:sz w:val="22"/>
                <w:lang w:val="zh-CN"/>
              </w:rPr>
            </w:pPr>
          </w:p>
        </w:tc>
        <w:tc>
          <w:tcPr>
            <w:tcW w:w="4639"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rPr>
                <w:rFonts w:hint="eastAsia" w:ascii="宋体" w:hAnsi="宋体"/>
                <w:color w:val="auto"/>
                <w:sz w:val="22"/>
                <w:lang w:val="zh-CN"/>
              </w:rPr>
            </w:pPr>
            <w:r>
              <w:rPr>
                <w:rFonts w:hint="eastAsia" w:ascii="宋体" w:hAnsi="宋体"/>
                <w:color w:val="auto"/>
                <w:sz w:val="24"/>
                <w:lang w:val="zh-CN"/>
              </w:rPr>
              <w:t>居民健康素养水平（</w:t>
            </w:r>
            <w:r>
              <w:rPr>
                <w:rFonts w:hint="default" w:ascii="Times New Roman" w:hAnsi="Times New Roman" w:eastAsia="Times New Roman"/>
                <w:color w:val="auto"/>
                <w:sz w:val="24"/>
                <w:lang w:val="en-US"/>
              </w:rPr>
              <w:t>%</w:t>
            </w:r>
            <w:r>
              <w:rPr>
                <w:rFonts w:hint="eastAsia" w:ascii="宋体" w:hAnsi="宋体"/>
                <w:color w:val="auto"/>
                <w:sz w:val="24"/>
                <w:lang w:val="zh-CN"/>
              </w:rPr>
              <w:t>）</w:t>
            </w:r>
          </w:p>
        </w:tc>
        <w:tc>
          <w:tcPr>
            <w:tcW w:w="1588"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jc w:val="center"/>
              <w:rPr>
                <w:rFonts w:hint="eastAsia" w:ascii="宋体" w:hAnsi="宋体"/>
                <w:color w:val="auto"/>
                <w:sz w:val="22"/>
                <w:lang w:val="zh-CN"/>
              </w:rPr>
            </w:pPr>
            <w:r>
              <w:rPr>
                <w:rFonts w:hint="default" w:ascii="Times New Roman" w:hAnsi="Times New Roman" w:eastAsia="Times New Roman"/>
                <w:color w:val="auto"/>
                <w:sz w:val="24"/>
                <w:lang w:val="en-US"/>
              </w:rPr>
              <w:t>14.18</w:t>
            </w:r>
          </w:p>
        </w:tc>
        <w:tc>
          <w:tcPr>
            <w:tcW w:w="1240"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jc w:val="center"/>
              <w:rPr>
                <w:rFonts w:hint="eastAsia" w:ascii="宋体" w:hAnsi="宋体"/>
                <w:color w:val="auto"/>
                <w:sz w:val="22"/>
                <w:lang w:val="zh-CN"/>
              </w:rPr>
            </w:pPr>
            <w:r>
              <w:rPr>
                <w:rFonts w:hint="eastAsia" w:ascii="宋体" w:hAnsi="宋体"/>
                <w:color w:val="auto"/>
                <w:sz w:val="24"/>
                <w:lang w:val="zh-CN"/>
              </w:rPr>
              <w:t>≥</w:t>
            </w:r>
            <w:r>
              <w:rPr>
                <w:rFonts w:hint="default" w:ascii="Times New Roman" w:hAnsi="Times New Roman" w:eastAsia="Times New Roman"/>
                <w:color w:val="auto"/>
                <w:sz w:val="24"/>
                <w:lang w:val="en-US"/>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886"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516"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tabs>
                <w:tab w:val="left" w:pos="704"/>
              </w:tabs>
              <w:spacing w:beforeLines="0" w:afterLines="0" w:line="276" w:lineRule="auto"/>
              <w:jc w:val="center"/>
              <w:rPr>
                <w:rFonts w:hint="eastAsia" w:ascii="宋体" w:hAnsi="宋体"/>
                <w:color w:val="auto"/>
                <w:sz w:val="22"/>
                <w:lang w:val="zh-CN"/>
              </w:rPr>
            </w:pPr>
          </w:p>
        </w:tc>
        <w:tc>
          <w:tcPr>
            <w:tcW w:w="4639"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rPr>
                <w:rFonts w:hint="eastAsia" w:ascii="宋体" w:hAnsi="宋体"/>
                <w:color w:val="auto"/>
                <w:sz w:val="22"/>
                <w:lang w:val="zh-CN"/>
              </w:rPr>
            </w:pPr>
            <w:r>
              <w:rPr>
                <w:rFonts w:hint="eastAsia" w:ascii="宋体" w:hAnsi="宋体"/>
                <w:color w:val="auto"/>
                <w:sz w:val="24"/>
                <w:lang w:val="zh-CN"/>
              </w:rPr>
              <w:t>经常参加体育锻炼人数比例（</w:t>
            </w:r>
            <w:r>
              <w:rPr>
                <w:rFonts w:hint="default" w:ascii="Times New Roman" w:hAnsi="Times New Roman" w:eastAsia="Times New Roman"/>
                <w:color w:val="auto"/>
                <w:sz w:val="24"/>
                <w:lang w:val="en-US"/>
              </w:rPr>
              <w:t>%</w:t>
            </w:r>
            <w:r>
              <w:rPr>
                <w:rFonts w:hint="eastAsia" w:ascii="宋体" w:hAnsi="宋体"/>
                <w:color w:val="auto"/>
                <w:sz w:val="24"/>
                <w:lang w:val="zh-CN"/>
              </w:rPr>
              <w:t>）</w:t>
            </w:r>
          </w:p>
        </w:tc>
        <w:tc>
          <w:tcPr>
            <w:tcW w:w="1588"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jc w:val="center"/>
              <w:rPr>
                <w:rFonts w:hint="eastAsia" w:ascii="宋体" w:hAnsi="宋体"/>
                <w:color w:val="auto"/>
                <w:sz w:val="22"/>
                <w:lang w:val="zh-CN"/>
              </w:rPr>
            </w:pPr>
            <w:r>
              <w:rPr>
                <w:rFonts w:hint="default" w:ascii="Times New Roman" w:hAnsi="Times New Roman" w:eastAsia="Times New Roman"/>
                <w:color w:val="auto"/>
                <w:sz w:val="24"/>
                <w:lang w:val="en-US"/>
              </w:rPr>
              <w:t>2014</w:t>
            </w:r>
            <w:r>
              <w:rPr>
                <w:rFonts w:hint="eastAsia" w:ascii="宋体" w:hAnsi="宋体"/>
                <w:color w:val="auto"/>
                <w:sz w:val="24"/>
                <w:lang w:val="zh-CN"/>
              </w:rPr>
              <w:t>年为</w:t>
            </w:r>
            <w:r>
              <w:rPr>
                <w:rFonts w:hint="default" w:ascii="Times New Roman" w:hAnsi="Times New Roman" w:eastAsia="Times New Roman"/>
                <w:color w:val="auto"/>
                <w:sz w:val="24"/>
                <w:lang w:val="en-US"/>
              </w:rPr>
              <w:t>33.9</w:t>
            </w:r>
          </w:p>
        </w:tc>
        <w:tc>
          <w:tcPr>
            <w:tcW w:w="1240"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jc w:val="center"/>
              <w:rPr>
                <w:rFonts w:hint="eastAsia" w:ascii="宋体" w:hAnsi="宋体"/>
                <w:color w:val="auto"/>
                <w:sz w:val="22"/>
                <w:lang w:val="zh-CN"/>
              </w:rPr>
            </w:pPr>
            <w:r>
              <w:rPr>
                <w:rFonts w:hint="eastAsia" w:ascii="宋体" w:hAnsi="宋体"/>
                <w:color w:val="auto"/>
                <w:sz w:val="24"/>
                <w:lang w:val="zh-CN"/>
              </w:rPr>
              <w:t>≥</w:t>
            </w:r>
            <w:r>
              <w:rPr>
                <w:rFonts w:hint="default" w:ascii="Times New Roman" w:hAnsi="Times New Roman" w:eastAsia="Times New Roman"/>
                <w:color w:val="auto"/>
                <w:sz w:val="24"/>
                <w:lang w:val="en-US"/>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886"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516"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tabs>
                <w:tab w:val="left" w:pos="704"/>
              </w:tabs>
              <w:spacing w:beforeLines="0" w:afterLines="0" w:line="276" w:lineRule="auto"/>
              <w:jc w:val="center"/>
              <w:rPr>
                <w:rFonts w:hint="eastAsia" w:ascii="宋体" w:hAnsi="宋体"/>
                <w:color w:val="auto"/>
                <w:sz w:val="22"/>
                <w:lang w:val="zh-CN"/>
              </w:rPr>
            </w:pPr>
          </w:p>
        </w:tc>
        <w:tc>
          <w:tcPr>
            <w:tcW w:w="4639"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rPr>
                <w:rFonts w:hint="eastAsia" w:ascii="宋体" w:hAnsi="宋体"/>
                <w:color w:val="auto"/>
                <w:sz w:val="22"/>
                <w:lang w:val="zh-CN"/>
              </w:rPr>
            </w:pPr>
            <w:r>
              <w:rPr>
                <w:rFonts w:hint="eastAsia" w:ascii="宋体" w:hAnsi="宋体"/>
                <w:color w:val="auto"/>
                <w:sz w:val="24"/>
                <w:lang w:val="zh-CN"/>
              </w:rPr>
              <w:t>重大慢性病过早死亡率（</w:t>
            </w:r>
            <w:r>
              <w:rPr>
                <w:rFonts w:hint="default" w:ascii="Times New Roman" w:hAnsi="Times New Roman" w:eastAsia="Times New Roman"/>
                <w:color w:val="auto"/>
                <w:sz w:val="24"/>
                <w:lang w:val="en-US"/>
              </w:rPr>
              <w:t>%</w:t>
            </w:r>
            <w:r>
              <w:rPr>
                <w:rFonts w:hint="eastAsia" w:ascii="宋体" w:hAnsi="宋体"/>
                <w:color w:val="auto"/>
                <w:sz w:val="24"/>
                <w:lang w:val="zh-CN"/>
              </w:rPr>
              <w:t>）</w:t>
            </w:r>
          </w:p>
        </w:tc>
        <w:tc>
          <w:tcPr>
            <w:tcW w:w="1588"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jc w:val="center"/>
              <w:rPr>
                <w:rFonts w:hint="eastAsia" w:ascii="宋体" w:hAnsi="宋体"/>
                <w:color w:val="auto"/>
                <w:sz w:val="22"/>
                <w:lang w:val="zh-CN"/>
              </w:rPr>
            </w:pPr>
            <w:r>
              <w:rPr>
                <w:rFonts w:hint="default" w:ascii="Times New Roman" w:hAnsi="Times New Roman" w:eastAsia="Times New Roman"/>
                <w:color w:val="auto"/>
                <w:sz w:val="24"/>
                <w:lang w:val="en-US"/>
              </w:rPr>
              <w:t>2015</w:t>
            </w:r>
            <w:r>
              <w:rPr>
                <w:rFonts w:hint="eastAsia" w:ascii="宋体" w:hAnsi="宋体"/>
                <w:color w:val="auto"/>
                <w:sz w:val="24"/>
                <w:lang w:val="zh-CN"/>
              </w:rPr>
              <w:t>年为</w:t>
            </w:r>
            <w:r>
              <w:rPr>
                <w:rFonts w:hint="default" w:ascii="Times New Roman" w:hAnsi="Times New Roman" w:eastAsia="Times New Roman"/>
                <w:color w:val="auto"/>
                <w:sz w:val="24"/>
                <w:lang w:val="en-US"/>
              </w:rPr>
              <w:t>18.5</w:t>
            </w:r>
          </w:p>
        </w:tc>
        <w:tc>
          <w:tcPr>
            <w:tcW w:w="1240"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jc w:val="center"/>
              <w:rPr>
                <w:rFonts w:hint="eastAsia" w:ascii="宋体" w:hAnsi="宋体"/>
                <w:color w:val="auto"/>
                <w:sz w:val="22"/>
                <w:lang w:val="zh-CN"/>
              </w:rPr>
            </w:pPr>
            <w:r>
              <w:rPr>
                <w:rFonts w:hint="eastAsia" w:ascii="宋体" w:hAnsi="宋体"/>
                <w:color w:val="auto"/>
                <w:sz w:val="24"/>
                <w:lang w:val="zh-CN"/>
              </w:rPr>
              <w:t>≤</w:t>
            </w:r>
            <w:r>
              <w:rPr>
                <w:rFonts w:hint="default" w:ascii="Times New Roman" w:hAnsi="Times New Roman" w:eastAsia="Times New Roman"/>
                <w:color w:val="auto"/>
                <w:sz w:val="24"/>
                <w:lang w:val="en-US"/>
              </w:rPr>
              <w:t>15.9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886"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516"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tabs>
                <w:tab w:val="left" w:pos="704"/>
              </w:tabs>
              <w:spacing w:beforeLines="0" w:afterLines="0" w:line="276" w:lineRule="auto"/>
              <w:jc w:val="center"/>
              <w:rPr>
                <w:rFonts w:hint="eastAsia" w:ascii="宋体" w:hAnsi="宋体"/>
                <w:color w:val="auto"/>
                <w:sz w:val="22"/>
                <w:lang w:val="zh-CN"/>
              </w:rPr>
            </w:pPr>
          </w:p>
        </w:tc>
        <w:tc>
          <w:tcPr>
            <w:tcW w:w="4639"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rPr>
                <w:rFonts w:hint="eastAsia" w:ascii="宋体" w:hAnsi="宋体"/>
                <w:color w:val="auto"/>
                <w:sz w:val="22"/>
                <w:lang w:val="zh-CN"/>
              </w:rPr>
            </w:pPr>
            <w:r>
              <w:rPr>
                <w:rFonts w:hint="eastAsia" w:ascii="宋体" w:hAnsi="宋体"/>
                <w:color w:val="auto"/>
                <w:sz w:val="24"/>
                <w:lang w:val="zh-CN"/>
              </w:rPr>
              <w:t>每千常住人口执业（助理）医师数（人）</w:t>
            </w:r>
          </w:p>
        </w:tc>
        <w:tc>
          <w:tcPr>
            <w:tcW w:w="1588"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jc w:val="center"/>
              <w:rPr>
                <w:rFonts w:hint="eastAsia" w:ascii="宋体" w:hAnsi="宋体"/>
                <w:color w:val="auto"/>
                <w:sz w:val="22"/>
                <w:lang w:val="zh-CN"/>
              </w:rPr>
            </w:pPr>
            <w:r>
              <w:rPr>
                <w:rFonts w:hint="default" w:ascii="Times New Roman" w:hAnsi="Times New Roman" w:eastAsia="Times New Roman"/>
                <w:color w:val="auto"/>
                <w:sz w:val="24"/>
                <w:lang w:val="en-US"/>
              </w:rPr>
              <w:t>2.44</w:t>
            </w:r>
          </w:p>
        </w:tc>
        <w:tc>
          <w:tcPr>
            <w:tcW w:w="1240"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jc w:val="center"/>
              <w:rPr>
                <w:rFonts w:hint="eastAsia" w:ascii="宋体" w:hAnsi="宋体"/>
                <w:color w:val="auto"/>
                <w:sz w:val="22"/>
                <w:lang w:val="zh-CN"/>
              </w:rPr>
            </w:pPr>
            <w:r>
              <w:rPr>
                <w:rFonts w:hint="default" w:ascii="Times New Roman" w:hAnsi="Times New Roman" w:eastAsia="Times New Roman"/>
                <w:color w:val="auto"/>
                <w:sz w:val="24"/>
                <w:lang w:val="en-US"/>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886"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516"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tabs>
                <w:tab w:val="left" w:pos="421"/>
                <w:tab w:val="left" w:pos="704"/>
              </w:tabs>
              <w:spacing w:beforeLines="0" w:afterLines="0" w:line="276" w:lineRule="auto"/>
              <w:jc w:val="center"/>
              <w:rPr>
                <w:rFonts w:hint="eastAsia" w:ascii="宋体" w:hAnsi="宋体"/>
                <w:color w:val="auto"/>
                <w:sz w:val="22"/>
                <w:lang w:val="zh-CN"/>
              </w:rPr>
            </w:pPr>
          </w:p>
        </w:tc>
        <w:tc>
          <w:tcPr>
            <w:tcW w:w="4639"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rPr>
                <w:rFonts w:hint="eastAsia" w:ascii="宋体" w:hAnsi="宋体"/>
                <w:color w:val="auto"/>
                <w:sz w:val="22"/>
                <w:lang w:val="zh-CN"/>
              </w:rPr>
            </w:pPr>
            <w:r>
              <w:rPr>
                <w:rFonts w:hint="eastAsia" w:ascii="宋体" w:hAnsi="宋体"/>
                <w:color w:val="auto"/>
                <w:sz w:val="24"/>
                <w:lang w:val="zh-CN"/>
              </w:rPr>
              <w:t>个人卫生支出占卫生总费用的比重（</w:t>
            </w:r>
            <w:r>
              <w:rPr>
                <w:rFonts w:hint="default" w:ascii="Times New Roman" w:hAnsi="Times New Roman" w:eastAsia="Times New Roman"/>
                <w:color w:val="auto"/>
                <w:sz w:val="24"/>
                <w:lang w:val="en-US"/>
              </w:rPr>
              <w:t>%</w:t>
            </w:r>
            <w:r>
              <w:rPr>
                <w:rFonts w:hint="eastAsia" w:ascii="宋体" w:hAnsi="宋体"/>
                <w:color w:val="auto"/>
                <w:sz w:val="24"/>
                <w:lang w:val="zh-CN"/>
              </w:rPr>
              <w:t>）</w:t>
            </w:r>
          </w:p>
        </w:tc>
        <w:tc>
          <w:tcPr>
            <w:tcW w:w="1588"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jc w:val="center"/>
              <w:rPr>
                <w:rFonts w:hint="eastAsia" w:ascii="宋体" w:hAnsi="宋体"/>
                <w:color w:val="auto"/>
                <w:sz w:val="22"/>
                <w:lang w:val="zh-CN"/>
              </w:rPr>
            </w:pPr>
            <w:r>
              <w:rPr>
                <w:rFonts w:hint="default" w:ascii="Times New Roman" w:hAnsi="Times New Roman" w:eastAsia="Times New Roman"/>
                <w:color w:val="auto"/>
                <w:sz w:val="24"/>
                <w:lang w:val="en-US"/>
              </w:rPr>
              <w:t>28.8</w:t>
            </w:r>
          </w:p>
        </w:tc>
        <w:tc>
          <w:tcPr>
            <w:tcW w:w="1240"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jc w:val="center"/>
              <w:rPr>
                <w:rFonts w:hint="eastAsia" w:ascii="宋体" w:hAnsi="宋体"/>
                <w:color w:val="auto"/>
                <w:sz w:val="22"/>
                <w:lang w:val="zh-CN"/>
              </w:rPr>
            </w:pPr>
            <w:r>
              <w:rPr>
                <w:rFonts w:hint="default" w:ascii="Times New Roman" w:hAnsi="Times New Roman" w:eastAsia="Times New Roman"/>
                <w:color w:val="auto"/>
                <w:sz w:val="24"/>
                <w:lang w:val="en-US"/>
              </w:rPr>
              <w:t>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886"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rPr>
                <w:rFonts w:hint="default" w:ascii="Times New Roman" w:hAnsi="Times New Roman" w:eastAsia="Times New Roman"/>
                <w:color w:val="auto"/>
                <w:spacing w:val="-12"/>
                <w:sz w:val="24"/>
                <w:lang w:val="en-US"/>
              </w:rPr>
            </w:pPr>
          </w:p>
          <w:p>
            <w:pPr>
              <w:spacing w:beforeLines="0" w:afterLines="0" w:line="276" w:lineRule="auto"/>
              <w:rPr>
                <w:rFonts w:hint="default" w:ascii="Times New Roman" w:hAnsi="Times New Roman" w:eastAsia="Times New Roman"/>
                <w:color w:val="auto"/>
                <w:spacing w:val="-12"/>
                <w:sz w:val="24"/>
                <w:lang w:val="en-US"/>
              </w:rPr>
            </w:pPr>
          </w:p>
          <w:p>
            <w:pPr>
              <w:spacing w:beforeLines="0" w:afterLines="0" w:line="276" w:lineRule="auto"/>
              <w:rPr>
                <w:rFonts w:hint="default" w:ascii="Times New Roman" w:hAnsi="Times New Roman" w:eastAsia="Times New Roman"/>
                <w:color w:val="auto"/>
                <w:spacing w:val="-12"/>
                <w:sz w:val="24"/>
                <w:lang w:val="en-US"/>
              </w:rPr>
            </w:pPr>
          </w:p>
          <w:p>
            <w:pPr>
              <w:spacing w:beforeLines="0" w:afterLines="0" w:line="276" w:lineRule="auto"/>
              <w:rPr>
                <w:rFonts w:hint="default" w:ascii="Times New Roman" w:hAnsi="Times New Roman" w:eastAsia="Times New Roman"/>
                <w:color w:val="auto"/>
                <w:spacing w:val="-12"/>
                <w:sz w:val="24"/>
                <w:lang w:val="en-US"/>
              </w:rPr>
            </w:pPr>
          </w:p>
          <w:p>
            <w:pPr>
              <w:spacing w:beforeLines="0" w:afterLines="0" w:line="276" w:lineRule="auto"/>
              <w:rPr>
                <w:rFonts w:hint="default" w:ascii="Times New Roman" w:hAnsi="Times New Roman" w:eastAsia="Times New Roman"/>
                <w:color w:val="auto"/>
                <w:spacing w:val="-12"/>
                <w:sz w:val="24"/>
                <w:lang w:val="en-US"/>
              </w:rPr>
            </w:pPr>
          </w:p>
          <w:p>
            <w:pPr>
              <w:spacing w:beforeLines="0" w:afterLines="0" w:line="276" w:lineRule="auto"/>
              <w:rPr>
                <w:rFonts w:hint="default" w:ascii="Times New Roman" w:hAnsi="Times New Roman" w:eastAsia="Times New Roman"/>
                <w:color w:val="auto"/>
                <w:spacing w:val="-12"/>
                <w:sz w:val="24"/>
                <w:lang w:val="en-US"/>
              </w:rPr>
            </w:pPr>
          </w:p>
          <w:p>
            <w:pPr>
              <w:spacing w:beforeLines="0" w:afterLines="0" w:line="276" w:lineRule="auto"/>
              <w:rPr>
                <w:rFonts w:hint="default" w:ascii="Times New Roman" w:hAnsi="Times New Roman" w:eastAsia="Times New Roman"/>
                <w:color w:val="auto"/>
                <w:spacing w:val="-12"/>
                <w:sz w:val="24"/>
                <w:lang w:val="en-US"/>
              </w:rPr>
            </w:pPr>
          </w:p>
          <w:p>
            <w:pPr>
              <w:spacing w:beforeLines="0" w:afterLines="0" w:line="276" w:lineRule="auto"/>
              <w:rPr>
                <w:rFonts w:hint="default" w:ascii="Times New Roman" w:hAnsi="Times New Roman" w:eastAsia="Times New Roman"/>
                <w:color w:val="auto"/>
                <w:spacing w:val="-12"/>
                <w:sz w:val="24"/>
                <w:lang w:val="en-US"/>
              </w:rPr>
            </w:pPr>
          </w:p>
          <w:p>
            <w:pPr>
              <w:spacing w:beforeLines="0" w:afterLines="0" w:line="276" w:lineRule="auto"/>
              <w:rPr>
                <w:rFonts w:hint="default" w:ascii="Times New Roman" w:hAnsi="Times New Roman" w:eastAsia="Times New Roman"/>
                <w:color w:val="auto"/>
                <w:spacing w:val="-12"/>
                <w:sz w:val="24"/>
                <w:lang w:val="en-US"/>
              </w:rPr>
            </w:pPr>
          </w:p>
          <w:p>
            <w:pPr>
              <w:spacing w:beforeLines="0" w:afterLines="0" w:line="276" w:lineRule="auto"/>
              <w:rPr>
                <w:rFonts w:hint="default" w:ascii="Times New Roman" w:hAnsi="Times New Roman" w:eastAsia="Times New Roman"/>
                <w:color w:val="auto"/>
                <w:spacing w:val="-12"/>
                <w:sz w:val="24"/>
                <w:lang w:val="en-US"/>
              </w:rPr>
            </w:pPr>
            <w:r>
              <w:rPr>
                <w:rFonts w:hint="eastAsia" w:ascii="宋体" w:hAnsi="宋体"/>
                <w:color w:val="auto"/>
                <w:spacing w:val="-12"/>
                <w:sz w:val="24"/>
                <w:lang w:val="zh-CN"/>
              </w:rPr>
              <w:t>《健康中国行动》和相关规划文件</w:t>
            </w:r>
          </w:p>
          <w:p>
            <w:pPr>
              <w:spacing w:beforeLines="0" w:afterLines="0" w:line="276" w:lineRule="auto"/>
              <w:jc w:val="center"/>
              <w:rPr>
                <w:rFonts w:hint="default" w:ascii="Times New Roman" w:hAnsi="Times New Roman" w:eastAsia="Times New Roman"/>
                <w:color w:val="auto"/>
                <w:spacing w:val="-12"/>
                <w:sz w:val="24"/>
                <w:lang w:val="en-US"/>
              </w:rPr>
            </w:pPr>
          </w:p>
          <w:p>
            <w:pPr>
              <w:spacing w:beforeLines="0" w:afterLines="0" w:line="276" w:lineRule="auto"/>
              <w:jc w:val="center"/>
              <w:rPr>
                <w:rFonts w:hint="default" w:ascii="Times New Roman" w:hAnsi="Times New Roman" w:eastAsia="Times New Roman"/>
                <w:color w:val="auto"/>
                <w:spacing w:val="-12"/>
                <w:sz w:val="24"/>
                <w:lang w:val="en-US"/>
              </w:rPr>
            </w:pPr>
          </w:p>
          <w:p>
            <w:pPr>
              <w:spacing w:beforeLines="0" w:afterLines="0" w:line="276" w:lineRule="auto"/>
              <w:jc w:val="center"/>
              <w:rPr>
                <w:rFonts w:hint="default" w:ascii="Times New Roman" w:hAnsi="Times New Roman" w:eastAsia="Times New Roman"/>
                <w:color w:val="auto"/>
                <w:spacing w:val="-12"/>
                <w:sz w:val="24"/>
                <w:lang w:val="en-US"/>
              </w:rPr>
            </w:pPr>
          </w:p>
          <w:p>
            <w:pPr>
              <w:spacing w:beforeLines="0" w:afterLines="0" w:line="276" w:lineRule="auto"/>
              <w:jc w:val="center"/>
              <w:rPr>
                <w:rFonts w:hint="default" w:ascii="Times New Roman" w:hAnsi="Times New Roman" w:eastAsia="Times New Roman"/>
                <w:color w:val="auto"/>
                <w:spacing w:val="-12"/>
                <w:sz w:val="24"/>
                <w:lang w:val="en-US"/>
              </w:rPr>
            </w:pPr>
          </w:p>
          <w:p>
            <w:pPr>
              <w:spacing w:beforeLines="0" w:afterLines="0" w:line="276" w:lineRule="auto"/>
              <w:jc w:val="center"/>
              <w:rPr>
                <w:rFonts w:hint="default" w:ascii="Times New Roman" w:hAnsi="Times New Roman" w:eastAsia="Times New Roman"/>
                <w:color w:val="auto"/>
                <w:spacing w:val="-12"/>
                <w:sz w:val="24"/>
                <w:lang w:val="en-US"/>
              </w:rPr>
            </w:pPr>
          </w:p>
          <w:p>
            <w:pPr>
              <w:spacing w:beforeLines="0" w:afterLines="0" w:line="276" w:lineRule="auto"/>
              <w:jc w:val="center"/>
              <w:rPr>
                <w:rFonts w:hint="default" w:ascii="Times New Roman" w:hAnsi="Times New Roman" w:eastAsia="Times New Roman"/>
                <w:color w:val="auto"/>
                <w:spacing w:val="-12"/>
                <w:sz w:val="24"/>
                <w:lang w:val="en-US"/>
              </w:rPr>
            </w:pPr>
          </w:p>
          <w:p>
            <w:pPr>
              <w:spacing w:beforeLines="0" w:afterLines="0" w:line="276" w:lineRule="auto"/>
              <w:jc w:val="center"/>
              <w:rPr>
                <w:rFonts w:hint="default" w:ascii="Times New Roman" w:hAnsi="Times New Roman" w:eastAsia="Times New Roman"/>
                <w:color w:val="auto"/>
                <w:spacing w:val="-12"/>
                <w:sz w:val="24"/>
                <w:lang w:val="en-US"/>
              </w:rPr>
            </w:pPr>
          </w:p>
          <w:p>
            <w:pPr>
              <w:spacing w:beforeLines="0" w:afterLines="0" w:line="276" w:lineRule="auto"/>
              <w:jc w:val="center"/>
              <w:rPr>
                <w:rFonts w:hint="default" w:ascii="Times New Roman" w:hAnsi="Times New Roman" w:eastAsia="Times New Roman"/>
                <w:color w:val="auto"/>
                <w:spacing w:val="-12"/>
                <w:sz w:val="24"/>
                <w:lang w:val="en-US"/>
              </w:rPr>
            </w:pPr>
          </w:p>
          <w:p>
            <w:pPr>
              <w:spacing w:beforeLines="0" w:afterLines="0" w:line="276" w:lineRule="auto"/>
              <w:jc w:val="center"/>
              <w:rPr>
                <w:rFonts w:hint="default" w:ascii="Times New Roman" w:hAnsi="Times New Roman" w:eastAsia="Times New Roman"/>
                <w:color w:val="auto"/>
                <w:spacing w:val="-12"/>
                <w:sz w:val="24"/>
                <w:lang w:val="en-US"/>
              </w:rPr>
            </w:pPr>
          </w:p>
          <w:p>
            <w:pPr>
              <w:spacing w:beforeLines="0" w:afterLines="0" w:line="276" w:lineRule="auto"/>
              <w:jc w:val="center"/>
              <w:rPr>
                <w:rFonts w:hint="default" w:ascii="Times New Roman" w:hAnsi="Times New Roman" w:eastAsia="Times New Roman"/>
                <w:color w:val="auto"/>
                <w:spacing w:val="-12"/>
                <w:sz w:val="24"/>
                <w:lang w:val="en-US"/>
              </w:rPr>
            </w:pPr>
          </w:p>
          <w:p>
            <w:pPr>
              <w:spacing w:beforeLines="0" w:afterLines="0" w:line="276" w:lineRule="auto"/>
              <w:rPr>
                <w:rFonts w:hint="default" w:ascii="Times New Roman" w:hAnsi="Times New Roman" w:eastAsia="Times New Roman"/>
                <w:color w:val="auto"/>
                <w:spacing w:val="-12"/>
                <w:sz w:val="24"/>
                <w:lang w:val="en-US"/>
              </w:rPr>
            </w:pPr>
            <w:r>
              <w:rPr>
                <w:rFonts w:hint="eastAsia" w:ascii="宋体" w:hAnsi="宋体"/>
                <w:color w:val="auto"/>
                <w:spacing w:val="-12"/>
                <w:sz w:val="24"/>
                <w:lang w:val="zh-CN"/>
              </w:rPr>
              <w:t>《健康中国行动》和相关规划文件</w:t>
            </w:r>
          </w:p>
          <w:p>
            <w:pPr>
              <w:spacing w:beforeLines="0" w:afterLines="0" w:line="276" w:lineRule="auto"/>
              <w:jc w:val="center"/>
              <w:rPr>
                <w:rFonts w:hint="eastAsia" w:ascii="宋体" w:hAnsi="宋体"/>
                <w:color w:val="auto"/>
                <w:sz w:val="22"/>
                <w:lang w:val="zh-CN"/>
              </w:rPr>
            </w:pPr>
          </w:p>
        </w:tc>
        <w:tc>
          <w:tcPr>
            <w:tcW w:w="516"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tabs>
                <w:tab w:val="left" w:pos="421"/>
                <w:tab w:val="left" w:pos="704"/>
              </w:tabs>
              <w:spacing w:beforeLines="0" w:afterLines="0" w:line="276" w:lineRule="auto"/>
              <w:jc w:val="center"/>
              <w:rPr>
                <w:rFonts w:hint="eastAsia" w:ascii="宋体" w:hAnsi="宋体"/>
                <w:color w:val="auto"/>
                <w:sz w:val="22"/>
                <w:lang w:val="zh-CN"/>
              </w:rPr>
            </w:pPr>
          </w:p>
        </w:tc>
        <w:tc>
          <w:tcPr>
            <w:tcW w:w="4639"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rPr>
                <w:rFonts w:hint="eastAsia" w:ascii="宋体" w:hAnsi="宋体"/>
                <w:color w:val="auto"/>
                <w:sz w:val="22"/>
                <w:lang w:val="zh-CN"/>
              </w:rPr>
            </w:pPr>
            <w:r>
              <w:rPr>
                <w:rFonts w:hint="eastAsia" w:ascii="宋体" w:hAnsi="宋体"/>
                <w:color w:val="auto"/>
                <w:spacing w:val="-12"/>
                <w:sz w:val="24"/>
                <w:lang w:val="zh-CN"/>
              </w:rPr>
              <w:t>建立并完善健康科普专家库和资源库，构建健康科普知识发布和传播机制</w:t>
            </w:r>
          </w:p>
        </w:tc>
        <w:tc>
          <w:tcPr>
            <w:tcW w:w="1588"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jc w:val="center"/>
              <w:rPr>
                <w:rFonts w:hint="eastAsia" w:ascii="宋体" w:hAnsi="宋体"/>
                <w:color w:val="auto"/>
                <w:sz w:val="22"/>
                <w:lang w:val="zh-CN"/>
              </w:rPr>
            </w:pPr>
            <w:r>
              <w:rPr>
                <w:rFonts w:hint="default" w:ascii="宋体" w:hAnsi="宋体"/>
                <w:color w:val="auto"/>
                <w:spacing w:val="-12"/>
                <w:sz w:val="24"/>
                <w:lang w:val="zh-CN"/>
              </w:rPr>
              <w:t>—</w:t>
            </w:r>
          </w:p>
        </w:tc>
        <w:tc>
          <w:tcPr>
            <w:tcW w:w="1240"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jc w:val="center"/>
              <w:rPr>
                <w:rFonts w:hint="eastAsia" w:ascii="宋体" w:hAnsi="宋体"/>
                <w:color w:val="auto"/>
                <w:sz w:val="22"/>
                <w:lang w:val="zh-CN"/>
              </w:rPr>
            </w:pPr>
            <w:r>
              <w:rPr>
                <w:rFonts w:hint="eastAsia" w:ascii="宋体" w:hAnsi="宋体"/>
                <w:color w:val="auto"/>
                <w:spacing w:val="-12"/>
                <w:sz w:val="24"/>
                <w:lang w:val="zh-CN"/>
              </w:rPr>
              <w:t>实现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886"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516"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tabs>
                <w:tab w:val="left" w:pos="421"/>
                <w:tab w:val="left" w:pos="704"/>
              </w:tabs>
              <w:spacing w:beforeLines="0" w:afterLines="0" w:line="276" w:lineRule="auto"/>
              <w:jc w:val="center"/>
              <w:rPr>
                <w:rFonts w:hint="eastAsia" w:ascii="宋体" w:hAnsi="宋体"/>
                <w:color w:val="auto"/>
                <w:sz w:val="22"/>
                <w:lang w:val="zh-CN"/>
              </w:rPr>
            </w:pPr>
          </w:p>
        </w:tc>
        <w:tc>
          <w:tcPr>
            <w:tcW w:w="4639"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rPr>
                <w:rFonts w:hint="eastAsia" w:ascii="宋体" w:hAnsi="宋体"/>
                <w:color w:val="auto"/>
                <w:sz w:val="22"/>
                <w:lang w:val="zh-CN"/>
              </w:rPr>
            </w:pPr>
            <w:r>
              <w:rPr>
                <w:rFonts w:hint="eastAsia" w:ascii="宋体" w:hAnsi="宋体"/>
                <w:color w:val="auto"/>
                <w:sz w:val="24"/>
                <w:lang w:val="zh-CN"/>
              </w:rPr>
              <w:t>建立医疗机构和医务人员开展健康教育和健康促进的绩效考核机制</w:t>
            </w:r>
          </w:p>
        </w:tc>
        <w:tc>
          <w:tcPr>
            <w:tcW w:w="1588"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jc w:val="center"/>
              <w:rPr>
                <w:rFonts w:hint="eastAsia" w:ascii="宋体" w:hAnsi="宋体"/>
                <w:color w:val="auto"/>
                <w:sz w:val="22"/>
                <w:lang w:val="zh-CN"/>
              </w:rPr>
            </w:pPr>
            <w:r>
              <w:rPr>
                <w:rFonts w:hint="default" w:ascii="宋体" w:hAnsi="宋体"/>
                <w:color w:val="auto"/>
                <w:sz w:val="24"/>
                <w:lang w:val="zh-CN"/>
              </w:rPr>
              <w:t>—</w:t>
            </w:r>
          </w:p>
        </w:tc>
        <w:tc>
          <w:tcPr>
            <w:tcW w:w="1240"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jc w:val="center"/>
              <w:rPr>
                <w:rFonts w:hint="eastAsia" w:ascii="宋体" w:hAnsi="宋体"/>
                <w:color w:val="auto"/>
                <w:sz w:val="22"/>
                <w:lang w:val="zh-CN"/>
              </w:rPr>
            </w:pPr>
            <w:r>
              <w:rPr>
                <w:rFonts w:hint="eastAsia" w:ascii="宋体" w:hAnsi="宋体"/>
                <w:color w:val="auto"/>
                <w:sz w:val="24"/>
                <w:lang w:val="zh-CN"/>
              </w:rPr>
              <w:t>实现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886"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516"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tabs>
                <w:tab w:val="left" w:pos="421"/>
                <w:tab w:val="left" w:pos="704"/>
              </w:tabs>
              <w:spacing w:beforeLines="0" w:afterLines="0" w:line="276" w:lineRule="auto"/>
              <w:jc w:val="center"/>
              <w:rPr>
                <w:rFonts w:hint="eastAsia" w:ascii="宋体" w:hAnsi="宋体"/>
                <w:color w:val="auto"/>
                <w:sz w:val="22"/>
                <w:lang w:val="zh-CN"/>
              </w:rPr>
            </w:pPr>
          </w:p>
        </w:tc>
        <w:tc>
          <w:tcPr>
            <w:tcW w:w="4639"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rPr>
                <w:rFonts w:hint="eastAsia" w:ascii="宋体" w:hAnsi="宋体"/>
                <w:color w:val="auto"/>
                <w:sz w:val="22"/>
                <w:lang w:val="zh-CN"/>
              </w:rPr>
            </w:pPr>
            <w:r>
              <w:rPr>
                <w:rFonts w:hint="eastAsia" w:ascii="宋体" w:hAnsi="宋体"/>
                <w:color w:val="auto"/>
                <w:sz w:val="24"/>
                <w:lang w:val="zh-CN"/>
              </w:rPr>
              <w:t>产前筛查率（</w:t>
            </w:r>
            <w:r>
              <w:rPr>
                <w:rFonts w:hint="default" w:ascii="Times New Roman" w:hAnsi="Times New Roman" w:eastAsia="Times New Roman"/>
                <w:color w:val="auto"/>
                <w:sz w:val="24"/>
                <w:lang w:val="en-US"/>
              </w:rPr>
              <w:t>%</w:t>
            </w:r>
            <w:r>
              <w:rPr>
                <w:rFonts w:hint="eastAsia" w:ascii="宋体" w:hAnsi="宋体"/>
                <w:color w:val="auto"/>
                <w:sz w:val="24"/>
                <w:lang w:val="zh-CN"/>
              </w:rPr>
              <w:t>）</w:t>
            </w:r>
          </w:p>
        </w:tc>
        <w:tc>
          <w:tcPr>
            <w:tcW w:w="1588"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jc w:val="center"/>
              <w:rPr>
                <w:rFonts w:hint="eastAsia" w:ascii="宋体" w:hAnsi="宋体"/>
                <w:color w:val="auto"/>
                <w:sz w:val="22"/>
                <w:lang w:val="zh-CN"/>
              </w:rPr>
            </w:pPr>
            <w:r>
              <w:rPr>
                <w:rFonts w:hint="default" w:ascii="Times New Roman" w:hAnsi="Times New Roman" w:eastAsia="Times New Roman"/>
                <w:color w:val="auto"/>
                <w:sz w:val="24"/>
                <w:lang w:val="en-US"/>
              </w:rPr>
              <w:t>61.1</w:t>
            </w:r>
          </w:p>
        </w:tc>
        <w:tc>
          <w:tcPr>
            <w:tcW w:w="1240"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jc w:val="center"/>
              <w:rPr>
                <w:rFonts w:hint="eastAsia" w:ascii="宋体" w:hAnsi="宋体"/>
                <w:color w:val="auto"/>
                <w:sz w:val="22"/>
                <w:lang w:val="zh-CN"/>
              </w:rPr>
            </w:pPr>
            <w:r>
              <w:rPr>
                <w:rFonts w:hint="eastAsia" w:ascii="宋体" w:hAnsi="宋体"/>
                <w:color w:val="auto"/>
                <w:sz w:val="24"/>
                <w:lang w:val="zh-CN"/>
              </w:rPr>
              <w:t>≥</w:t>
            </w:r>
            <w:r>
              <w:rPr>
                <w:rFonts w:hint="default" w:ascii="Times New Roman" w:hAnsi="Times New Roman" w:eastAsia="Times New Roman"/>
                <w:color w:val="auto"/>
                <w:sz w:val="24"/>
                <w:lang w:val="en-US"/>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886"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516"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tabs>
                <w:tab w:val="left" w:pos="421"/>
                <w:tab w:val="left" w:pos="704"/>
              </w:tabs>
              <w:spacing w:beforeLines="0" w:afterLines="0" w:line="276" w:lineRule="auto"/>
              <w:jc w:val="center"/>
              <w:rPr>
                <w:rFonts w:hint="eastAsia" w:ascii="宋体" w:hAnsi="宋体"/>
                <w:color w:val="auto"/>
                <w:sz w:val="22"/>
                <w:lang w:val="zh-CN"/>
              </w:rPr>
            </w:pPr>
          </w:p>
        </w:tc>
        <w:tc>
          <w:tcPr>
            <w:tcW w:w="4639"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rPr>
                <w:rFonts w:hint="eastAsia" w:ascii="宋体" w:hAnsi="宋体"/>
                <w:color w:val="auto"/>
                <w:sz w:val="22"/>
                <w:lang w:val="zh-CN"/>
              </w:rPr>
            </w:pPr>
            <w:r>
              <w:rPr>
                <w:rFonts w:hint="eastAsia" w:ascii="宋体" w:hAnsi="宋体"/>
                <w:color w:val="auto"/>
                <w:sz w:val="24"/>
                <w:lang w:val="zh-CN"/>
              </w:rPr>
              <w:t>新生儿遗传代谢性疾病筛查率（</w:t>
            </w:r>
            <w:r>
              <w:rPr>
                <w:rFonts w:hint="default" w:ascii="Times New Roman" w:hAnsi="Times New Roman" w:eastAsia="Times New Roman"/>
                <w:color w:val="auto"/>
                <w:sz w:val="24"/>
                <w:lang w:val="en-US"/>
              </w:rPr>
              <w:t>%</w:t>
            </w:r>
            <w:r>
              <w:rPr>
                <w:rFonts w:hint="eastAsia" w:ascii="宋体" w:hAnsi="宋体"/>
                <w:color w:val="auto"/>
                <w:sz w:val="24"/>
                <w:lang w:val="zh-CN"/>
              </w:rPr>
              <w:t>）</w:t>
            </w:r>
          </w:p>
        </w:tc>
        <w:tc>
          <w:tcPr>
            <w:tcW w:w="1588"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jc w:val="center"/>
              <w:rPr>
                <w:rFonts w:hint="eastAsia" w:ascii="宋体" w:hAnsi="宋体"/>
                <w:color w:val="auto"/>
                <w:sz w:val="22"/>
                <w:lang w:val="zh-CN"/>
              </w:rPr>
            </w:pPr>
            <w:r>
              <w:rPr>
                <w:rFonts w:hint="default" w:ascii="Times New Roman" w:hAnsi="Times New Roman" w:eastAsia="Times New Roman"/>
                <w:color w:val="auto"/>
                <w:sz w:val="24"/>
                <w:lang w:val="en-US"/>
              </w:rPr>
              <w:t>97.5</w:t>
            </w:r>
          </w:p>
        </w:tc>
        <w:tc>
          <w:tcPr>
            <w:tcW w:w="1240"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jc w:val="center"/>
              <w:rPr>
                <w:rFonts w:hint="eastAsia" w:ascii="宋体" w:hAnsi="宋体"/>
                <w:color w:val="auto"/>
                <w:sz w:val="22"/>
                <w:lang w:val="zh-CN"/>
              </w:rPr>
            </w:pPr>
            <w:r>
              <w:rPr>
                <w:rFonts w:hint="eastAsia" w:ascii="宋体" w:hAnsi="宋体"/>
                <w:color w:val="auto"/>
                <w:sz w:val="24"/>
                <w:lang w:val="zh-CN"/>
              </w:rPr>
              <w:t>≥</w:t>
            </w:r>
            <w:r>
              <w:rPr>
                <w:rFonts w:hint="default" w:ascii="Times New Roman" w:hAnsi="Times New Roman" w:eastAsia="Times New Roman"/>
                <w:color w:val="auto"/>
                <w:sz w:val="24"/>
                <w:lang w:val="en-US"/>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886"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516"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tabs>
                <w:tab w:val="left" w:pos="421"/>
                <w:tab w:val="left" w:pos="704"/>
              </w:tabs>
              <w:spacing w:beforeLines="0" w:afterLines="0" w:line="276" w:lineRule="auto"/>
              <w:jc w:val="center"/>
              <w:rPr>
                <w:rFonts w:hint="eastAsia" w:ascii="宋体" w:hAnsi="宋体"/>
                <w:color w:val="auto"/>
                <w:sz w:val="22"/>
                <w:lang w:val="zh-CN"/>
              </w:rPr>
            </w:pPr>
          </w:p>
        </w:tc>
        <w:tc>
          <w:tcPr>
            <w:tcW w:w="4639"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rPr>
                <w:rFonts w:hint="eastAsia" w:ascii="宋体" w:hAnsi="宋体"/>
                <w:color w:val="auto"/>
                <w:sz w:val="22"/>
                <w:lang w:val="zh-CN"/>
              </w:rPr>
            </w:pPr>
            <w:r>
              <w:rPr>
                <w:rFonts w:hint="eastAsia" w:ascii="宋体" w:hAnsi="宋体"/>
                <w:color w:val="auto"/>
                <w:sz w:val="24"/>
                <w:lang w:val="zh-CN"/>
              </w:rPr>
              <w:t>农村适龄妇女宫颈癌和乳腺癌筛查覆盖率（</w:t>
            </w:r>
            <w:r>
              <w:rPr>
                <w:rFonts w:hint="default" w:ascii="Times New Roman" w:hAnsi="Times New Roman" w:eastAsia="Times New Roman"/>
                <w:color w:val="auto"/>
                <w:sz w:val="24"/>
                <w:lang w:val="en-US"/>
              </w:rPr>
              <w:t>%</w:t>
            </w:r>
            <w:r>
              <w:rPr>
                <w:rFonts w:hint="eastAsia" w:ascii="宋体" w:hAnsi="宋体"/>
                <w:color w:val="auto"/>
                <w:sz w:val="24"/>
                <w:lang w:val="zh-CN"/>
              </w:rPr>
              <w:t>）</w:t>
            </w:r>
          </w:p>
        </w:tc>
        <w:tc>
          <w:tcPr>
            <w:tcW w:w="1588"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jc w:val="center"/>
              <w:rPr>
                <w:rFonts w:hint="eastAsia" w:ascii="宋体" w:hAnsi="宋体"/>
                <w:color w:val="auto"/>
                <w:sz w:val="22"/>
                <w:lang w:val="zh-CN"/>
              </w:rPr>
            </w:pPr>
            <w:r>
              <w:rPr>
                <w:rFonts w:hint="default" w:ascii="Times New Roman" w:hAnsi="Times New Roman" w:eastAsia="Times New Roman"/>
                <w:color w:val="auto"/>
                <w:sz w:val="24"/>
                <w:lang w:val="en-US"/>
              </w:rPr>
              <w:t>52.6</w:t>
            </w:r>
          </w:p>
        </w:tc>
        <w:tc>
          <w:tcPr>
            <w:tcW w:w="1240"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jc w:val="center"/>
              <w:rPr>
                <w:rFonts w:hint="eastAsia" w:ascii="宋体" w:hAnsi="宋体"/>
                <w:color w:val="auto"/>
                <w:sz w:val="22"/>
                <w:lang w:val="zh-CN"/>
              </w:rPr>
            </w:pPr>
            <w:r>
              <w:rPr>
                <w:rFonts w:hint="eastAsia" w:ascii="宋体" w:hAnsi="宋体"/>
                <w:color w:val="auto"/>
                <w:sz w:val="24"/>
                <w:lang w:val="zh-CN"/>
              </w:rPr>
              <w:t>≥</w:t>
            </w:r>
            <w:r>
              <w:rPr>
                <w:rFonts w:hint="default" w:ascii="Times New Roman" w:hAnsi="Times New Roman" w:eastAsia="Times New Roman"/>
                <w:color w:val="auto"/>
                <w:sz w:val="24"/>
                <w:lang w:val="en-US"/>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886"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516"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tabs>
                <w:tab w:val="left" w:pos="421"/>
                <w:tab w:val="left" w:pos="704"/>
              </w:tabs>
              <w:spacing w:beforeLines="0" w:afterLines="0" w:line="276" w:lineRule="auto"/>
              <w:jc w:val="center"/>
              <w:rPr>
                <w:rFonts w:hint="eastAsia" w:ascii="宋体" w:hAnsi="宋体"/>
                <w:color w:val="auto"/>
                <w:sz w:val="22"/>
                <w:lang w:val="zh-CN"/>
              </w:rPr>
            </w:pPr>
          </w:p>
        </w:tc>
        <w:tc>
          <w:tcPr>
            <w:tcW w:w="4639"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rPr>
                <w:rFonts w:hint="eastAsia" w:ascii="宋体" w:hAnsi="宋体"/>
                <w:color w:val="auto"/>
                <w:sz w:val="22"/>
                <w:lang w:val="zh-CN"/>
              </w:rPr>
            </w:pPr>
            <w:r>
              <w:rPr>
                <w:rFonts w:hint="eastAsia" w:ascii="宋体" w:hAnsi="宋体"/>
                <w:color w:val="auto"/>
                <w:sz w:val="24"/>
                <w:lang w:val="zh-CN"/>
              </w:rPr>
              <w:t>国家学生体质健康标准优良率（</w:t>
            </w:r>
            <w:r>
              <w:rPr>
                <w:rFonts w:hint="default" w:ascii="Times New Roman" w:hAnsi="Times New Roman" w:eastAsia="Times New Roman"/>
                <w:color w:val="auto"/>
                <w:sz w:val="24"/>
                <w:lang w:val="en-US"/>
              </w:rPr>
              <w:t>%</w:t>
            </w:r>
            <w:r>
              <w:rPr>
                <w:rFonts w:hint="eastAsia" w:ascii="宋体" w:hAnsi="宋体"/>
                <w:color w:val="auto"/>
                <w:sz w:val="24"/>
                <w:lang w:val="zh-CN"/>
              </w:rPr>
              <w:t>）</w:t>
            </w:r>
          </w:p>
        </w:tc>
        <w:tc>
          <w:tcPr>
            <w:tcW w:w="1588"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jc w:val="center"/>
              <w:rPr>
                <w:rFonts w:hint="eastAsia" w:ascii="宋体" w:hAnsi="宋体"/>
                <w:color w:val="auto"/>
                <w:sz w:val="22"/>
                <w:lang w:val="zh-CN"/>
              </w:rPr>
            </w:pPr>
            <w:r>
              <w:rPr>
                <w:rFonts w:hint="default" w:ascii="Times New Roman" w:hAnsi="Times New Roman" w:eastAsia="Times New Roman"/>
                <w:color w:val="auto"/>
                <w:sz w:val="24"/>
                <w:lang w:val="en-US"/>
              </w:rPr>
              <w:t>31.8</w:t>
            </w:r>
          </w:p>
        </w:tc>
        <w:tc>
          <w:tcPr>
            <w:tcW w:w="1240"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jc w:val="center"/>
              <w:rPr>
                <w:rFonts w:hint="eastAsia" w:ascii="宋体" w:hAnsi="宋体"/>
                <w:color w:val="auto"/>
                <w:sz w:val="22"/>
                <w:lang w:val="zh-CN"/>
              </w:rPr>
            </w:pPr>
            <w:r>
              <w:rPr>
                <w:rFonts w:hint="eastAsia" w:ascii="宋体" w:hAnsi="宋体"/>
                <w:color w:val="auto"/>
                <w:sz w:val="24"/>
                <w:lang w:val="zh-CN"/>
              </w:rPr>
              <w:t>≥</w:t>
            </w:r>
            <w:r>
              <w:rPr>
                <w:rFonts w:hint="default" w:ascii="Times New Roman" w:hAnsi="Times New Roman" w:eastAsia="Times New Roman"/>
                <w:color w:val="auto"/>
                <w:sz w:val="24"/>
                <w:lang w:val="en-US"/>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886"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516"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tabs>
                <w:tab w:val="left" w:pos="421"/>
                <w:tab w:val="left" w:pos="704"/>
              </w:tabs>
              <w:spacing w:beforeLines="0" w:afterLines="0" w:line="276" w:lineRule="auto"/>
              <w:jc w:val="center"/>
              <w:rPr>
                <w:rFonts w:hint="eastAsia" w:ascii="宋体" w:hAnsi="宋体"/>
                <w:color w:val="auto"/>
                <w:sz w:val="22"/>
                <w:lang w:val="zh-CN"/>
              </w:rPr>
            </w:pPr>
          </w:p>
        </w:tc>
        <w:tc>
          <w:tcPr>
            <w:tcW w:w="4639"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rPr>
                <w:rFonts w:hint="eastAsia" w:ascii="宋体" w:hAnsi="宋体"/>
                <w:color w:val="auto"/>
                <w:sz w:val="22"/>
                <w:lang w:val="zh-CN"/>
              </w:rPr>
            </w:pPr>
            <w:r>
              <w:rPr>
                <w:rFonts w:hint="eastAsia" w:ascii="宋体" w:hAnsi="宋体"/>
                <w:color w:val="auto"/>
                <w:sz w:val="24"/>
                <w:lang w:val="zh-CN"/>
              </w:rPr>
              <w:t>符合要求的中小学体育与健康课程开课率（</w:t>
            </w:r>
            <w:r>
              <w:rPr>
                <w:rFonts w:hint="default" w:ascii="Times New Roman" w:hAnsi="Times New Roman" w:eastAsia="Times New Roman"/>
                <w:color w:val="auto"/>
                <w:sz w:val="24"/>
                <w:lang w:val="en-US"/>
              </w:rPr>
              <w:t>%</w:t>
            </w:r>
            <w:r>
              <w:rPr>
                <w:rFonts w:hint="eastAsia" w:ascii="宋体" w:hAnsi="宋体"/>
                <w:color w:val="auto"/>
                <w:sz w:val="24"/>
                <w:lang w:val="zh-CN"/>
              </w:rPr>
              <w:t>）</w:t>
            </w:r>
          </w:p>
        </w:tc>
        <w:tc>
          <w:tcPr>
            <w:tcW w:w="1588"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jc w:val="center"/>
              <w:rPr>
                <w:rFonts w:hint="eastAsia" w:ascii="宋体" w:hAnsi="宋体"/>
                <w:color w:val="auto"/>
                <w:sz w:val="22"/>
                <w:lang w:val="zh-CN"/>
              </w:rPr>
            </w:pPr>
            <w:r>
              <w:rPr>
                <w:rFonts w:hint="default" w:ascii="宋体" w:hAnsi="宋体"/>
                <w:color w:val="auto"/>
                <w:sz w:val="24"/>
                <w:lang w:val="zh-CN"/>
              </w:rPr>
              <w:t>—</w:t>
            </w:r>
          </w:p>
        </w:tc>
        <w:tc>
          <w:tcPr>
            <w:tcW w:w="1240"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jc w:val="center"/>
              <w:rPr>
                <w:rFonts w:hint="eastAsia" w:ascii="宋体" w:hAnsi="宋体"/>
                <w:color w:val="auto"/>
                <w:sz w:val="22"/>
                <w:lang w:val="zh-CN"/>
              </w:rPr>
            </w:pPr>
            <w:r>
              <w:rPr>
                <w:rFonts w:hint="default" w:ascii="Times New Roman" w:hAnsi="Times New Roman" w:eastAsia="Times New Roman"/>
                <w:color w:val="auto"/>
                <w:sz w:val="24"/>
                <w:lang w:val="en-US"/>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886"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516"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tabs>
                <w:tab w:val="left" w:pos="421"/>
                <w:tab w:val="left" w:pos="704"/>
              </w:tabs>
              <w:spacing w:beforeLines="0" w:afterLines="0" w:line="276" w:lineRule="auto"/>
              <w:jc w:val="center"/>
              <w:rPr>
                <w:rFonts w:hint="eastAsia" w:ascii="宋体" w:hAnsi="宋体"/>
                <w:color w:val="auto"/>
                <w:sz w:val="22"/>
                <w:lang w:val="zh-CN"/>
              </w:rPr>
            </w:pPr>
          </w:p>
        </w:tc>
        <w:tc>
          <w:tcPr>
            <w:tcW w:w="4639"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rPr>
                <w:rFonts w:hint="eastAsia" w:ascii="宋体" w:hAnsi="宋体"/>
                <w:color w:val="auto"/>
                <w:sz w:val="22"/>
                <w:lang w:val="zh-CN"/>
              </w:rPr>
            </w:pPr>
            <w:r>
              <w:rPr>
                <w:rFonts w:hint="eastAsia" w:ascii="宋体" w:hAnsi="宋体"/>
                <w:color w:val="auto"/>
                <w:sz w:val="24"/>
                <w:lang w:val="zh-CN"/>
              </w:rPr>
              <w:t>中小学生每天校内体育活动时间（小时）</w:t>
            </w:r>
          </w:p>
        </w:tc>
        <w:tc>
          <w:tcPr>
            <w:tcW w:w="1588"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jc w:val="center"/>
              <w:rPr>
                <w:rFonts w:hint="eastAsia" w:ascii="宋体" w:hAnsi="宋体"/>
                <w:color w:val="auto"/>
                <w:sz w:val="22"/>
                <w:lang w:val="zh-CN"/>
              </w:rPr>
            </w:pPr>
            <w:r>
              <w:rPr>
                <w:rFonts w:hint="default" w:ascii="宋体" w:hAnsi="宋体"/>
                <w:color w:val="auto"/>
                <w:sz w:val="24"/>
                <w:lang w:val="zh-CN"/>
              </w:rPr>
              <w:t>—</w:t>
            </w:r>
          </w:p>
        </w:tc>
        <w:tc>
          <w:tcPr>
            <w:tcW w:w="1240"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jc w:val="center"/>
              <w:rPr>
                <w:rFonts w:hint="eastAsia" w:ascii="宋体" w:hAnsi="宋体"/>
                <w:color w:val="auto"/>
                <w:sz w:val="22"/>
                <w:lang w:val="zh-CN"/>
              </w:rPr>
            </w:pPr>
            <w:r>
              <w:rPr>
                <w:rFonts w:hint="eastAsia" w:ascii="宋体" w:hAnsi="宋体"/>
                <w:color w:val="auto"/>
                <w:sz w:val="24"/>
                <w:lang w:val="zh-CN"/>
              </w:rPr>
              <w:t>≥</w:t>
            </w:r>
            <w:r>
              <w:rPr>
                <w:rFonts w:hint="default" w:ascii="Times New Roman" w:hAnsi="Times New Roman" w:eastAsia="Times New Roman"/>
                <w:color w:val="auto"/>
                <w:sz w:val="24"/>
                <w:lang w:val="en-US"/>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886"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516"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tabs>
                <w:tab w:val="left" w:pos="421"/>
                <w:tab w:val="left" w:pos="704"/>
              </w:tabs>
              <w:spacing w:beforeLines="0" w:afterLines="0" w:line="276" w:lineRule="auto"/>
              <w:jc w:val="center"/>
              <w:rPr>
                <w:rFonts w:hint="eastAsia" w:ascii="宋体" w:hAnsi="宋体"/>
                <w:color w:val="auto"/>
                <w:sz w:val="22"/>
                <w:lang w:val="zh-CN"/>
              </w:rPr>
            </w:pPr>
          </w:p>
        </w:tc>
        <w:tc>
          <w:tcPr>
            <w:tcW w:w="4639"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rPr>
                <w:rFonts w:hint="eastAsia" w:ascii="宋体" w:hAnsi="宋体"/>
                <w:color w:val="auto"/>
                <w:sz w:val="22"/>
                <w:lang w:val="zh-CN"/>
              </w:rPr>
            </w:pPr>
            <w:r>
              <w:rPr>
                <w:rFonts w:hint="eastAsia" w:ascii="宋体" w:hAnsi="宋体"/>
                <w:color w:val="auto"/>
                <w:sz w:val="24"/>
                <w:lang w:val="zh-CN"/>
              </w:rPr>
              <w:t>寄宿制中小学校或</w:t>
            </w:r>
            <w:r>
              <w:rPr>
                <w:rFonts w:hint="default" w:ascii="Times New Roman" w:hAnsi="Times New Roman" w:eastAsia="Times New Roman"/>
                <w:color w:val="auto"/>
                <w:sz w:val="24"/>
                <w:lang w:val="en-US"/>
              </w:rPr>
              <w:t>600</w:t>
            </w:r>
            <w:r>
              <w:rPr>
                <w:rFonts w:hint="eastAsia" w:ascii="宋体" w:hAnsi="宋体"/>
                <w:color w:val="auto"/>
                <w:sz w:val="24"/>
                <w:lang w:val="zh-CN"/>
              </w:rPr>
              <w:t>名学生以上的非寄宿制中小学校配备专职卫生专业技术人员、</w:t>
            </w:r>
            <w:r>
              <w:rPr>
                <w:rFonts w:hint="default" w:ascii="Times New Roman" w:hAnsi="Times New Roman" w:eastAsia="Times New Roman"/>
                <w:color w:val="auto"/>
                <w:sz w:val="24"/>
                <w:lang w:val="en-US"/>
              </w:rPr>
              <w:t>600</w:t>
            </w:r>
            <w:r>
              <w:rPr>
                <w:rFonts w:hint="eastAsia" w:ascii="宋体" w:hAnsi="宋体"/>
                <w:color w:val="auto"/>
                <w:sz w:val="24"/>
                <w:lang w:val="zh-CN"/>
              </w:rPr>
              <w:t>名学生以下的非寄宿制中小学校配备专兼职保健教师或卫生专业技术人员的比例（</w:t>
            </w:r>
            <w:r>
              <w:rPr>
                <w:rFonts w:hint="default" w:ascii="Times New Roman" w:hAnsi="Times New Roman" w:eastAsia="Times New Roman"/>
                <w:color w:val="auto"/>
                <w:sz w:val="24"/>
                <w:lang w:val="en-US"/>
              </w:rPr>
              <w:t>%</w:t>
            </w:r>
            <w:r>
              <w:rPr>
                <w:rFonts w:hint="eastAsia" w:ascii="宋体" w:hAnsi="宋体"/>
                <w:color w:val="auto"/>
                <w:sz w:val="24"/>
                <w:lang w:val="zh-CN"/>
              </w:rPr>
              <w:t>）</w:t>
            </w:r>
          </w:p>
        </w:tc>
        <w:tc>
          <w:tcPr>
            <w:tcW w:w="1588"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jc w:val="center"/>
              <w:rPr>
                <w:rFonts w:hint="eastAsia" w:ascii="宋体" w:hAnsi="宋体"/>
                <w:color w:val="auto"/>
                <w:sz w:val="22"/>
                <w:lang w:val="zh-CN"/>
              </w:rPr>
            </w:pPr>
            <w:r>
              <w:rPr>
                <w:rFonts w:hint="default" w:ascii="宋体" w:hAnsi="宋体"/>
                <w:color w:val="auto"/>
                <w:sz w:val="24"/>
                <w:lang w:val="zh-CN"/>
              </w:rPr>
              <w:t>—</w:t>
            </w:r>
          </w:p>
        </w:tc>
        <w:tc>
          <w:tcPr>
            <w:tcW w:w="1240"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jc w:val="center"/>
              <w:rPr>
                <w:rFonts w:hint="eastAsia" w:ascii="宋体" w:hAnsi="宋体"/>
                <w:color w:val="auto"/>
                <w:sz w:val="22"/>
                <w:lang w:val="zh-CN"/>
              </w:rPr>
            </w:pPr>
            <w:r>
              <w:rPr>
                <w:rFonts w:hint="eastAsia" w:ascii="宋体" w:hAnsi="宋体"/>
                <w:color w:val="auto"/>
                <w:sz w:val="24"/>
                <w:lang w:val="zh-CN"/>
              </w:rPr>
              <w:t>≥</w:t>
            </w:r>
            <w:r>
              <w:rPr>
                <w:rFonts w:hint="default" w:ascii="Times New Roman" w:hAnsi="Times New Roman" w:eastAsia="Times New Roman"/>
                <w:color w:val="auto"/>
                <w:sz w:val="24"/>
                <w:lang w:val="en-US"/>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886"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516"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tabs>
                <w:tab w:val="left" w:pos="421"/>
                <w:tab w:val="left" w:pos="704"/>
              </w:tabs>
              <w:spacing w:beforeLines="0" w:afterLines="0" w:line="276" w:lineRule="auto"/>
              <w:jc w:val="center"/>
              <w:rPr>
                <w:rFonts w:hint="eastAsia" w:ascii="宋体" w:hAnsi="宋体"/>
                <w:color w:val="auto"/>
                <w:sz w:val="22"/>
                <w:lang w:val="zh-CN"/>
              </w:rPr>
            </w:pPr>
          </w:p>
        </w:tc>
        <w:tc>
          <w:tcPr>
            <w:tcW w:w="4639"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rPr>
                <w:rFonts w:hint="eastAsia" w:ascii="宋体" w:hAnsi="宋体"/>
                <w:color w:val="auto"/>
                <w:sz w:val="22"/>
                <w:lang w:val="zh-CN"/>
              </w:rPr>
            </w:pPr>
            <w:r>
              <w:rPr>
                <w:rFonts w:hint="eastAsia" w:ascii="宋体" w:hAnsi="宋体"/>
                <w:color w:val="auto"/>
                <w:sz w:val="24"/>
                <w:lang w:val="zh-CN"/>
              </w:rPr>
              <w:t>配备专兼职心理健康工作人员的中小学校比例（</w:t>
            </w:r>
            <w:r>
              <w:rPr>
                <w:rFonts w:hint="default" w:ascii="Times New Roman" w:hAnsi="Times New Roman" w:eastAsia="Times New Roman"/>
                <w:color w:val="auto"/>
                <w:sz w:val="24"/>
                <w:lang w:val="en-US"/>
              </w:rPr>
              <w:t>%</w:t>
            </w:r>
            <w:r>
              <w:rPr>
                <w:rFonts w:hint="eastAsia" w:ascii="宋体" w:hAnsi="宋体"/>
                <w:color w:val="auto"/>
                <w:sz w:val="24"/>
                <w:lang w:val="zh-CN"/>
              </w:rPr>
              <w:t>）</w:t>
            </w:r>
          </w:p>
        </w:tc>
        <w:tc>
          <w:tcPr>
            <w:tcW w:w="1588"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jc w:val="center"/>
              <w:rPr>
                <w:rFonts w:hint="eastAsia" w:ascii="宋体" w:hAnsi="宋体"/>
                <w:color w:val="auto"/>
                <w:sz w:val="22"/>
                <w:lang w:val="zh-CN"/>
              </w:rPr>
            </w:pPr>
            <w:r>
              <w:rPr>
                <w:rFonts w:hint="default" w:ascii="宋体" w:hAnsi="宋体"/>
                <w:color w:val="auto"/>
                <w:sz w:val="24"/>
                <w:lang w:val="zh-CN"/>
              </w:rPr>
              <w:t>—</w:t>
            </w:r>
          </w:p>
        </w:tc>
        <w:tc>
          <w:tcPr>
            <w:tcW w:w="1240"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jc w:val="center"/>
              <w:rPr>
                <w:rFonts w:hint="eastAsia" w:ascii="宋体" w:hAnsi="宋体"/>
                <w:color w:val="auto"/>
                <w:sz w:val="22"/>
                <w:lang w:val="zh-CN"/>
              </w:rPr>
            </w:pPr>
            <w:r>
              <w:rPr>
                <w:rFonts w:hint="default" w:ascii="Times New Roman" w:hAnsi="Times New Roman" w:eastAsia="Times New Roman"/>
                <w:color w:val="auto"/>
                <w:sz w:val="24"/>
                <w:lang w:val="en-US"/>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886"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516"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tabs>
                <w:tab w:val="left" w:pos="421"/>
                <w:tab w:val="left" w:pos="704"/>
              </w:tabs>
              <w:spacing w:beforeLines="0" w:afterLines="0" w:line="276" w:lineRule="auto"/>
              <w:jc w:val="center"/>
              <w:rPr>
                <w:rFonts w:hint="eastAsia" w:ascii="宋体" w:hAnsi="宋体"/>
                <w:color w:val="auto"/>
                <w:sz w:val="22"/>
                <w:lang w:val="zh-CN"/>
              </w:rPr>
            </w:pPr>
          </w:p>
        </w:tc>
        <w:tc>
          <w:tcPr>
            <w:tcW w:w="4639"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rPr>
                <w:rFonts w:hint="eastAsia" w:ascii="宋体" w:hAnsi="宋体"/>
                <w:color w:val="auto"/>
                <w:sz w:val="22"/>
                <w:lang w:val="zh-CN"/>
              </w:rPr>
            </w:pPr>
            <w:r>
              <w:rPr>
                <w:rFonts w:hint="eastAsia" w:ascii="宋体" w:hAnsi="宋体"/>
                <w:color w:val="auto"/>
                <w:sz w:val="24"/>
                <w:lang w:val="zh-CN"/>
              </w:rPr>
              <w:t>接尘工龄不足</w:t>
            </w:r>
            <w:r>
              <w:rPr>
                <w:rFonts w:hint="default" w:ascii="Times New Roman" w:hAnsi="Times New Roman" w:eastAsia="Times New Roman"/>
                <w:color w:val="auto"/>
                <w:sz w:val="24"/>
                <w:lang w:val="en-US"/>
              </w:rPr>
              <w:t>5</w:t>
            </w:r>
            <w:r>
              <w:rPr>
                <w:rFonts w:hint="eastAsia" w:ascii="宋体" w:hAnsi="宋体"/>
                <w:color w:val="auto"/>
                <w:sz w:val="24"/>
                <w:lang w:val="zh-CN"/>
              </w:rPr>
              <w:t>年的劳动者新发尘肺病报告例数占年度报告总例数比例（</w:t>
            </w:r>
            <w:r>
              <w:rPr>
                <w:rFonts w:hint="default" w:ascii="Times New Roman" w:hAnsi="Times New Roman" w:eastAsia="Times New Roman"/>
                <w:color w:val="auto"/>
                <w:sz w:val="24"/>
                <w:lang w:val="en-US"/>
              </w:rPr>
              <w:t>%</w:t>
            </w:r>
            <w:r>
              <w:rPr>
                <w:rFonts w:hint="eastAsia" w:ascii="宋体" w:hAnsi="宋体"/>
                <w:color w:val="auto"/>
                <w:sz w:val="24"/>
                <w:lang w:val="zh-CN"/>
              </w:rPr>
              <w:t>）</w:t>
            </w:r>
          </w:p>
        </w:tc>
        <w:tc>
          <w:tcPr>
            <w:tcW w:w="1588"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jc w:val="center"/>
              <w:rPr>
                <w:rFonts w:hint="eastAsia" w:ascii="宋体" w:hAnsi="宋体"/>
                <w:color w:val="auto"/>
                <w:sz w:val="22"/>
                <w:lang w:val="zh-CN"/>
              </w:rPr>
            </w:pPr>
            <w:r>
              <w:rPr>
                <w:rFonts w:hint="default" w:ascii="宋体" w:hAnsi="宋体"/>
                <w:color w:val="auto"/>
                <w:sz w:val="24"/>
                <w:lang w:val="zh-CN"/>
              </w:rPr>
              <w:t>—</w:t>
            </w:r>
          </w:p>
        </w:tc>
        <w:tc>
          <w:tcPr>
            <w:tcW w:w="1240"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jc w:val="center"/>
              <w:rPr>
                <w:rFonts w:hint="eastAsia" w:ascii="宋体" w:hAnsi="宋体"/>
                <w:color w:val="auto"/>
                <w:sz w:val="22"/>
                <w:lang w:val="zh-CN"/>
              </w:rPr>
            </w:pPr>
            <w:r>
              <w:rPr>
                <w:rFonts w:hint="eastAsia" w:ascii="宋体" w:hAnsi="宋体"/>
                <w:color w:val="auto"/>
                <w:sz w:val="24"/>
                <w:lang w:val="zh-CN"/>
              </w:rPr>
              <w:t>下降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886"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516"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tabs>
                <w:tab w:val="left" w:pos="421"/>
                <w:tab w:val="left" w:pos="704"/>
              </w:tabs>
              <w:spacing w:beforeLines="0" w:afterLines="0" w:line="276" w:lineRule="auto"/>
              <w:jc w:val="center"/>
              <w:rPr>
                <w:rFonts w:hint="eastAsia" w:ascii="宋体" w:hAnsi="宋体"/>
                <w:color w:val="auto"/>
                <w:sz w:val="22"/>
                <w:lang w:val="zh-CN"/>
              </w:rPr>
            </w:pPr>
          </w:p>
        </w:tc>
        <w:tc>
          <w:tcPr>
            <w:tcW w:w="4639"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rPr>
                <w:rFonts w:hint="eastAsia" w:ascii="宋体" w:hAnsi="宋体"/>
                <w:color w:val="auto"/>
                <w:sz w:val="22"/>
                <w:lang w:val="zh-CN"/>
              </w:rPr>
            </w:pPr>
            <w:r>
              <w:rPr>
                <w:rFonts w:hint="eastAsia" w:ascii="宋体" w:hAnsi="宋体"/>
                <w:color w:val="auto"/>
                <w:sz w:val="24"/>
                <w:lang w:val="zh-CN"/>
              </w:rPr>
              <w:t>二级以上综合性医院设老年医学科比例（</w:t>
            </w:r>
            <w:r>
              <w:rPr>
                <w:rFonts w:hint="default" w:ascii="Times New Roman" w:hAnsi="Times New Roman" w:eastAsia="Times New Roman"/>
                <w:color w:val="auto"/>
                <w:sz w:val="24"/>
                <w:lang w:val="en-US"/>
              </w:rPr>
              <w:t>%</w:t>
            </w:r>
            <w:r>
              <w:rPr>
                <w:rFonts w:hint="eastAsia" w:ascii="宋体" w:hAnsi="宋体"/>
                <w:color w:val="auto"/>
                <w:sz w:val="24"/>
                <w:lang w:val="zh-CN"/>
              </w:rPr>
              <w:t>）</w:t>
            </w:r>
          </w:p>
        </w:tc>
        <w:tc>
          <w:tcPr>
            <w:tcW w:w="1588"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jc w:val="center"/>
              <w:rPr>
                <w:rFonts w:hint="eastAsia" w:ascii="宋体" w:hAnsi="宋体"/>
                <w:color w:val="auto"/>
                <w:sz w:val="22"/>
                <w:lang w:val="zh-CN"/>
              </w:rPr>
            </w:pPr>
            <w:r>
              <w:rPr>
                <w:rFonts w:hint="default" w:ascii="宋体" w:hAnsi="宋体"/>
                <w:color w:val="auto"/>
                <w:sz w:val="24"/>
                <w:lang w:val="zh-CN"/>
              </w:rPr>
              <w:t>—</w:t>
            </w:r>
          </w:p>
        </w:tc>
        <w:tc>
          <w:tcPr>
            <w:tcW w:w="1240"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jc w:val="center"/>
              <w:rPr>
                <w:rFonts w:hint="eastAsia" w:ascii="宋体" w:hAnsi="宋体"/>
                <w:color w:val="auto"/>
                <w:sz w:val="22"/>
                <w:lang w:val="zh-CN"/>
              </w:rPr>
            </w:pPr>
            <w:r>
              <w:rPr>
                <w:rFonts w:hint="eastAsia" w:ascii="宋体" w:hAnsi="宋体"/>
                <w:color w:val="auto"/>
                <w:sz w:val="24"/>
                <w:lang w:val="zh-CN"/>
              </w:rPr>
              <w:t>≥</w:t>
            </w:r>
            <w:r>
              <w:rPr>
                <w:rFonts w:hint="default" w:ascii="Times New Roman" w:hAnsi="Times New Roman" w:eastAsia="Times New Roman"/>
                <w:color w:val="auto"/>
                <w:sz w:val="24"/>
                <w:lang w:val="en-US"/>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886"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516"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tabs>
                <w:tab w:val="left" w:pos="421"/>
                <w:tab w:val="left" w:pos="704"/>
              </w:tabs>
              <w:spacing w:beforeLines="0" w:afterLines="0" w:line="276" w:lineRule="auto"/>
              <w:jc w:val="center"/>
              <w:rPr>
                <w:rFonts w:hint="eastAsia" w:ascii="宋体" w:hAnsi="宋体"/>
                <w:color w:val="auto"/>
                <w:sz w:val="22"/>
                <w:lang w:val="zh-CN"/>
              </w:rPr>
            </w:pPr>
          </w:p>
        </w:tc>
        <w:tc>
          <w:tcPr>
            <w:tcW w:w="4639"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rPr>
                <w:rFonts w:hint="eastAsia" w:ascii="宋体" w:hAnsi="宋体"/>
                <w:color w:val="auto"/>
                <w:sz w:val="22"/>
                <w:lang w:val="zh-CN"/>
              </w:rPr>
            </w:pPr>
            <w:r>
              <w:rPr>
                <w:rFonts w:hint="eastAsia" w:ascii="宋体" w:hAnsi="宋体"/>
                <w:color w:val="auto"/>
                <w:sz w:val="24"/>
                <w:lang w:val="zh-CN"/>
              </w:rPr>
              <w:t>高血压患者规范管理率（</w:t>
            </w:r>
            <w:r>
              <w:rPr>
                <w:rFonts w:hint="default" w:ascii="Times New Roman" w:hAnsi="Times New Roman" w:eastAsia="Times New Roman"/>
                <w:color w:val="auto"/>
                <w:sz w:val="24"/>
                <w:lang w:val="en-US"/>
              </w:rPr>
              <w:t>%</w:t>
            </w:r>
            <w:r>
              <w:rPr>
                <w:rFonts w:hint="eastAsia" w:ascii="宋体" w:hAnsi="宋体"/>
                <w:color w:val="auto"/>
                <w:sz w:val="24"/>
                <w:lang w:val="zh-CN"/>
              </w:rPr>
              <w:t>）</w:t>
            </w:r>
          </w:p>
        </w:tc>
        <w:tc>
          <w:tcPr>
            <w:tcW w:w="1588"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jc w:val="center"/>
              <w:rPr>
                <w:rFonts w:hint="eastAsia" w:ascii="宋体" w:hAnsi="宋体"/>
                <w:color w:val="auto"/>
                <w:sz w:val="22"/>
                <w:lang w:val="zh-CN"/>
              </w:rPr>
            </w:pPr>
            <w:r>
              <w:rPr>
                <w:rFonts w:hint="default" w:ascii="Times New Roman" w:hAnsi="Times New Roman" w:eastAsia="Times New Roman"/>
                <w:color w:val="auto"/>
                <w:sz w:val="24"/>
                <w:lang w:val="en-US"/>
              </w:rPr>
              <w:t>2015</w:t>
            </w:r>
            <w:r>
              <w:rPr>
                <w:rFonts w:hint="eastAsia" w:ascii="宋体" w:hAnsi="宋体"/>
                <w:color w:val="auto"/>
                <w:sz w:val="24"/>
                <w:lang w:val="zh-CN"/>
              </w:rPr>
              <w:t>年为</w:t>
            </w:r>
            <w:r>
              <w:rPr>
                <w:rFonts w:hint="default" w:ascii="Times New Roman" w:hAnsi="Times New Roman" w:eastAsia="Times New Roman"/>
                <w:color w:val="auto"/>
                <w:sz w:val="24"/>
                <w:lang w:val="en-US"/>
              </w:rPr>
              <w:t>50</w:t>
            </w:r>
          </w:p>
        </w:tc>
        <w:tc>
          <w:tcPr>
            <w:tcW w:w="1240"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jc w:val="center"/>
              <w:rPr>
                <w:rFonts w:hint="eastAsia" w:ascii="宋体" w:hAnsi="宋体"/>
                <w:color w:val="auto"/>
                <w:sz w:val="22"/>
                <w:lang w:val="zh-CN"/>
              </w:rPr>
            </w:pPr>
            <w:r>
              <w:rPr>
                <w:rFonts w:hint="eastAsia" w:ascii="宋体" w:hAnsi="宋体"/>
                <w:color w:val="auto"/>
                <w:sz w:val="24"/>
                <w:lang w:val="zh-CN"/>
              </w:rPr>
              <w:t>≥</w:t>
            </w:r>
            <w:r>
              <w:rPr>
                <w:rFonts w:hint="default" w:ascii="Times New Roman" w:hAnsi="Times New Roman" w:eastAsia="Times New Roman"/>
                <w:color w:val="auto"/>
                <w:sz w:val="24"/>
                <w:lang w:val="en-US"/>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886"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516"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tabs>
                <w:tab w:val="left" w:pos="421"/>
                <w:tab w:val="left" w:pos="704"/>
              </w:tabs>
              <w:spacing w:beforeLines="0" w:afterLines="0" w:line="276" w:lineRule="auto"/>
              <w:jc w:val="center"/>
              <w:rPr>
                <w:rFonts w:hint="eastAsia" w:ascii="宋体" w:hAnsi="宋体"/>
                <w:color w:val="auto"/>
                <w:sz w:val="22"/>
                <w:lang w:val="zh-CN"/>
              </w:rPr>
            </w:pPr>
          </w:p>
        </w:tc>
        <w:tc>
          <w:tcPr>
            <w:tcW w:w="4639"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rPr>
                <w:rFonts w:hint="eastAsia" w:ascii="宋体" w:hAnsi="宋体"/>
                <w:color w:val="auto"/>
                <w:sz w:val="22"/>
                <w:lang w:val="zh-CN"/>
              </w:rPr>
            </w:pPr>
            <w:r>
              <w:rPr>
                <w:rFonts w:hint="eastAsia" w:ascii="宋体" w:hAnsi="宋体"/>
                <w:color w:val="auto"/>
                <w:sz w:val="24"/>
                <w:lang w:val="zh-CN"/>
              </w:rPr>
              <w:t>糖尿病患者规范管理率（</w:t>
            </w:r>
            <w:r>
              <w:rPr>
                <w:rFonts w:hint="default" w:ascii="Times New Roman" w:hAnsi="Times New Roman" w:eastAsia="Times New Roman"/>
                <w:color w:val="auto"/>
                <w:sz w:val="24"/>
                <w:lang w:val="en-US"/>
              </w:rPr>
              <w:t>%</w:t>
            </w:r>
            <w:r>
              <w:rPr>
                <w:rFonts w:hint="eastAsia" w:ascii="宋体" w:hAnsi="宋体"/>
                <w:color w:val="auto"/>
                <w:sz w:val="24"/>
                <w:lang w:val="zh-CN"/>
              </w:rPr>
              <w:t>）</w:t>
            </w:r>
          </w:p>
        </w:tc>
        <w:tc>
          <w:tcPr>
            <w:tcW w:w="1588"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jc w:val="center"/>
              <w:rPr>
                <w:rFonts w:hint="eastAsia" w:ascii="宋体" w:hAnsi="宋体"/>
                <w:color w:val="auto"/>
                <w:sz w:val="22"/>
                <w:lang w:val="zh-CN"/>
              </w:rPr>
            </w:pPr>
            <w:r>
              <w:rPr>
                <w:rFonts w:hint="default" w:ascii="Times New Roman" w:hAnsi="Times New Roman" w:eastAsia="Times New Roman"/>
                <w:color w:val="auto"/>
                <w:sz w:val="24"/>
                <w:lang w:val="en-US"/>
              </w:rPr>
              <w:t>2015</w:t>
            </w:r>
            <w:r>
              <w:rPr>
                <w:rFonts w:hint="eastAsia" w:ascii="宋体" w:hAnsi="宋体"/>
                <w:color w:val="auto"/>
                <w:sz w:val="24"/>
                <w:lang w:val="zh-CN"/>
              </w:rPr>
              <w:t>年为</w:t>
            </w:r>
            <w:r>
              <w:rPr>
                <w:rFonts w:hint="default" w:ascii="Times New Roman" w:hAnsi="Times New Roman" w:eastAsia="Times New Roman"/>
                <w:color w:val="auto"/>
                <w:sz w:val="24"/>
                <w:lang w:val="en-US"/>
              </w:rPr>
              <w:t>50</w:t>
            </w:r>
          </w:p>
        </w:tc>
        <w:tc>
          <w:tcPr>
            <w:tcW w:w="1240"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jc w:val="center"/>
              <w:rPr>
                <w:rFonts w:hint="eastAsia" w:ascii="宋体" w:hAnsi="宋体"/>
                <w:color w:val="auto"/>
                <w:sz w:val="22"/>
                <w:lang w:val="zh-CN"/>
              </w:rPr>
            </w:pPr>
            <w:r>
              <w:rPr>
                <w:rFonts w:hint="eastAsia" w:ascii="宋体" w:hAnsi="宋体"/>
                <w:color w:val="auto"/>
                <w:sz w:val="24"/>
                <w:lang w:val="zh-CN"/>
              </w:rPr>
              <w:t>≥</w:t>
            </w:r>
            <w:r>
              <w:rPr>
                <w:rFonts w:hint="default" w:ascii="Times New Roman" w:hAnsi="Times New Roman" w:eastAsia="Times New Roman"/>
                <w:color w:val="auto"/>
                <w:sz w:val="24"/>
                <w:lang w:val="en-US"/>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886"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516"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tabs>
                <w:tab w:val="left" w:pos="421"/>
                <w:tab w:val="left" w:pos="704"/>
              </w:tabs>
              <w:spacing w:beforeLines="0" w:afterLines="0" w:line="276" w:lineRule="auto"/>
              <w:jc w:val="center"/>
              <w:rPr>
                <w:rFonts w:hint="eastAsia" w:ascii="宋体" w:hAnsi="宋体"/>
                <w:color w:val="auto"/>
                <w:sz w:val="22"/>
                <w:lang w:val="zh-CN"/>
              </w:rPr>
            </w:pPr>
          </w:p>
        </w:tc>
        <w:tc>
          <w:tcPr>
            <w:tcW w:w="4639"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rPr>
                <w:rFonts w:hint="eastAsia" w:ascii="宋体" w:hAnsi="宋体"/>
                <w:color w:val="auto"/>
                <w:sz w:val="22"/>
                <w:lang w:val="zh-CN"/>
              </w:rPr>
            </w:pPr>
            <w:r>
              <w:rPr>
                <w:rFonts w:hint="eastAsia" w:ascii="宋体" w:hAnsi="宋体"/>
                <w:color w:val="auto"/>
                <w:sz w:val="24"/>
                <w:lang w:val="zh-CN"/>
              </w:rPr>
              <w:t>乡镇卫生院、社区卫生服务中心提供中医非药物疗法的比例（</w:t>
            </w:r>
            <w:r>
              <w:rPr>
                <w:rFonts w:hint="default" w:ascii="Times New Roman" w:hAnsi="Times New Roman" w:eastAsia="Times New Roman"/>
                <w:color w:val="auto"/>
                <w:sz w:val="24"/>
                <w:lang w:val="en-US"/>
              </w:rPr>
              <w:t>%</w:t>
            </w:r>
            <w:r>
              <w:rPr>
                <w:rFonts w:hint="eastAsia" w:ascii="宋体" w:hAnsi="宋体"/>
                <w:color w:val="auto"/>
                <w:sz w:val="24"/>
                <w:lang w:val="zh-CN"/>
              </w:rPr>
              <w:t>），村卫生室提供中医非药物疗法的比例（</w:t>
            </w:r>
            <w:r>
              <w:rPr>
                <w:rFonts w:hint="default" w:ascii="Times New Roman" w:hAnsi="Times New Roman" w:eastAsia="Times New Roman"/>
                <w:color w:val="auto"/>
                <w:sz w:val="24"/>
                <w:lang w:val="en-US"/>
              </w:rPr>
              <w:t>%</w:t>
            </w:r>
            <w:r>
              <w:rPr>
                <w:rFonts w:hint="eastAsia" w:ascii="宋体" w:hAnsi="宋体"/>
                <w:color w:val="auto"/>
                <w:sz w:val="24"/>
                <w:lang w:val="zh-CN"/>
              </w:rPr>
              <w:t>）</w:t>
            </w:r>
          </w:p>
        </w:tc>
        <w:tc>
          <w:tcPr>
            <w:tcW w:w="1588"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jc w:val="center"/>
              <w:rPr>
                <w:rFonts w:hint="eastAsia" w:ascii="宋体" w:hAnsi="宋体"/>
                <w:color w:val="auto"/>
                <w:sz w:val="22"/>
                <w:lang w:val="zh-CN"/>
              </w:rPr>
            </w:pPr>
            <w:r>
              <w:rPr>
                <w:rFonts w:hint="default" w:ascii="宋体" w:hAnsi="宋体"/>
                <w:color w:val="auto"/>
                <w:sz w:val="24"/>
                <w:lang w:val="zh-CN"/>
              </w:rPr>
              <w:t>—</w:t>
            </w:r>
          </w:p>
        </w:tc>
        <w:tc>
          <w:tcPr>
            <w:tcW w:w="1240"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jc w:val="center"/>
              <w:rPr>
                <w:rFonts w:hint="default" w:ascii="Times New Roman" w:hAnsi="Times New Roman" w:eastAsia="Times New Roman"/>
                <w:color w:val="auto"/>
                <w:sz w:val="24"/>
                <w:lang w:val="en-US"/>
              </w:rPr>
            </w:pPr>
            <w:r>
              <w:rPr>
                <w:rFonts w:hint="default" w:ascii="Times New Roman" w:hAnsi="Times New Roman" w:eastAsia="Times New Roman"/>
                <w:color w:val="auto"/>
                <w:sz w:val="24"/>
                <w:lang w:val="en-US"/>
              </w:rPr>
              <w:t>100</w:t>
            </w:r>
          </w:p>
          <w:p>
            <w:pPr>
              <w:spacing w:beforeLines="0" w:afterLines="0" w:line="276" w:lineRule="auto"/>
              <w:jc w:val="center"/>
              <w:rPr>
                <w:rFonts w:hint="eastAsia" w:ascii="宋体" w:hAnsi="宋体"/>
                <w:color w:val="auto"/>
                <w:sz w:val="22"/>
                <w:lang w:val="zh-CN"/>
              </w:rPr>
            </w:pPr>
            <w:r>
              <w:rPr>
                <w:rFonts w:hint="default" w:ascii="Times New Roman" w:hAnsi="Times New Roman" w:eastAsia="Times New Roman"/>
                <w:color w:val="auto"/>
                <w:sz w:val="24"/>
                <w:lang w:val="en-US"/>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886"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516"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tabs>
                <w:tab w:val="left" w:pos="421"/>
                <w:tab w:val="left" w:pos="704"/>
              </w:tabs>
              <w:spacing w:beforeLines="0" w:afterLines="0" w:line="276" w:lineRule="auto"/>
              <w:jc w:val="center"/>
              <w:rPr>
                <w:rFonts w:hint="eastAsia" w:ascii="宋体" w:hAnsi="宋体"/>
                <w:color w:val="auto"/>
                <w:sz w:val="22"/>
                <w:lang w:val="zh-CN"/>
              </w:rPr>
            </w:pPr>
          </w:p>
        </w:tc>
        <w:tc>
          <w:tcPr>
            <w:tcW w:w="4639"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rPr>
                <w:rFonts w:hint="eastAsia" w:ascii="宋体" w:hAnsi="宋体"/>
                <w:color w:val="auto"/>
                <w:sz w:val="22"/>
                <w:lang w:val="zh-CN"/>
              </w:rPr>
            </w:pPr>
            <w:r>
              <w:rPr>
                <w:rFonts w:hint="eastAsia" w:ascii="宋体" w:hAnsi="宋体"/>
                <w:color w:val="auto"/>
                <w:sz w:val="24"/>
                <w:lang w:val="zh-CN"/>
              </w:rPr>
              <w:t>以乡（镇、街道）为单位适龄儿童免疫规划疫苗接种率（</w:t>
            </w:r>
            <w:r>
              <w:rPr>
                <w:rFonts w:hint="default" w:ascii="Times New Roman" w:hAnsi="Times New Roman" w:eastAsia="Times New Roman"/>
                <w:color w:val="auto"/>
                <w:sz w:val="24"/>
                <w:lang w:val="en-US"/>
              </w:rPr>
              <w:t>%</w:t>
            </w:r>
            <w:r>
              <w:rPr>
                <w:rFonts w:hint="eastAsia" w:ascii="宋体" w:hAnsi="宋体"/>
                <w:color w:val="auto"/>
                <w:sz w:val="24"/>
                <w:lang w:val="zh-CN"/>
              </w:rPr>
              <w:t>）</w:t>
            </w:r>
          </w:p>
        </w:tc>
        <w:tc>
          <w:tcPr>
            <w:tcW w:w="1588"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jc w:val="center"/>
              <w:rPr>
                <w:rFonts w:hint="eastAsia" w:ascii="宋体" w:hAnsi="宋体"/>
                <w:color w:val="auto"/>
                <w:sz w:val="22"/>
                <w:lang w:val="zh-CN"/>
              </w:rPr>
            </w:pPr>
            <w:r>
              <w:rPr>
                <w:rFonts w:hint="default" w:ascii="Times New Roman" w:hAnsi="Times New Roman" w:eastAsia="Times New Roman"/>
                <w:color w:val="auto"/>
                <w:sz w:val="24"/>
                <w:lang w:val="en-US"/>
              </w:rPr>
              <w:t>90</w:t>
            </w:r>
          </w:p>
        </w:tc>
        <w:tc>
          <w:tcPr>
            <w:tcW w:w="1240"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jc w:val="center"/>
              <w:rPr>
                <w:rFonts w:hint="eastAsia" w:ascii="宋体" w:hAnsi="宋体"/>
                <w:color w:val="auto"/>
                <w:sz w:val="22"/>
                <w:lang w:val="zh-CN"/>
              </w:rPr>
            </w:pPr>
            <w:r>
              <w:rPr>
                <w:rFonts w:hint="eastAsia" w:ascii="宋体" w:hAnsi="宋体"/>
                <w:color w:val="auto"/>
                <w:sz w:val="24"/>
                <w:lang w:val="zh-CN"/>
              </w:rPr>
              <w:t>＞</w:t>
            </w:r>
            <w:r>
              <w:rPr>
                <w:rFonts w:hint="default" w:ascii="Times New Roman" w:hAnsi="Times New Roman" w:eastAsia="Times New Roman"/>
                <w:color w:val="auto"/>
                <w:sz w:val="24"/>
                <w:lang w:val="en-US"/>
              </w:rPr>
              <w:t>90</w:t>
            </w:r>
          </w:p>
        </w:tc>
      </w:tr>
    </w:tbl>
    <w:p>
      <w:pPr>
        <w:spacing w:beforeLines="0" w:afterLines="0" w:line="620" w:lineRule="atLeast"/>
        <w:ind w:firstLine="600"/>
        <w:rPr>
          <w:rFonts w:hint="default" w:ascii="????_GBK" w:hAnsi="????_GBK" w:eastAsia="????_GBK"/>
          <w:color w:val="auto"/>
          <w:sz w:val="24"/>
          <w:lang w:val="en-US"/>
        </w:rPr>
      </w:pPr>
      <w:r>
        <w:rPr>
          <w:rFonts w:hint="eastAsia" w:ascii="宋体" w:hAnsi="宋体"/>
          <w:color w:val="auto"/>
          <w:sz w:val="24"/>
          <w:lang w:val="zh-CN"/>
        </w:rPr>
        <w:t>注：未写明年份的基线水平值，均为</w:t>
      </w:r>
      <w:r>
        <w:rPr>
          <w:rFonts w:hint="default" w:ascii="????_GBK" w:hAnsi="????_GBK" w:eastAsia="????_GBK"/>
          <w:color w:val="auto"/>
          <w:sz w:val="24"/>
          <w:lang w:val="en-US"/>
        </w:rPr>
        <w:t>2017</w:t>
      </w:r>
      <w:r>
        <w:rPr>
          <w:rFonts w:hint="eastAsia" w:ascii="宋体" w:hAnsi="宋体"/>
          <w:color w:val="auto"/>
          <w:sz w:val="24"/>
          <w:lang w:val="zh-CN"/>
        </w:rPr>
        <w:t>年数值。</w:t>
      </w:r>
    </w:p>
    <w:p>
      <w:pPr>
        <w:spacing w:beforeLines="0" w:afterLines="0"/>
        <w:rPr>
          <w:rFonts w:hint="default" w:ascii="????_GBK" w:hAnsi="????_GBK" w:eastAsia="????_GBK"/>
          <w:color w:val="auto"/>
          <w:sz w:val="24"/>
          <w:lang w:val="en-US"/>
        </w:rPr>
      </w:pPr>
      <w:r>
        <w:rPr>
          <w:rFonts w:hint="default" w:ascii="????_GBK" w:hAnsi="????_GBK" w:eastAsia="????_GBK"/>
          <w:color w:val="auto"/>
          <w:sz w:val="24"/>
          <w:lang w:val="en-US"/>
        </w:rPr>
        <w:br w:type="page"/>
      </w:r>
    </w:p>
    <w:p>
      <w:pPr>
        <w:spacing w:beforeLines="0" w:afterLines="0" w:line="620" w:lineRule="atLeast"/>
        <w:ind w:firstLine="600"/>
        <w:rPr>
          <w:rFonts w:hint="default" w:ascii="????_GBK" w:hAnsi="????_GBK" w:eastAsia="????_GBK"/>
          <w:color w:val="auto"/>
          <w:sz w:val="24"/>
          <w:lang w:val="en-US"/>
        </w:rPr>
      </w:pPr>
    </w:p>
    <w:p>
      <w:pPr>
        <w:spacing w:before="240" w:beforeLines="0" w:afterLines="0"/>
        <w:rPr>
          <w:rFonts w:hint="eastAsia" w:ascii="宋体" w:hAnsi="宋体"/>
          <w:b/>
          <w:color w:val="FF0000"/>
          <w:spacing w:val="-36"/>
          <w:sz w:val="72"/>
          <w:lang w:val="zh-CN"/>
        </w:rPr>
      </w:pPr>
    </w:p>
    <w:p>
      <w:pPr>
        <w:spacing w:beforeLines="0" w:afterLines="0" w:line="620" w:lineRule="atLeast"/>
        <w:jc w:val="center"/>
        <w:rPr>
          <w:rFonts w:hint="eastAsia" w:ascii="宋体" w:hAnsi="宋体"/>
          <w:b/>
          <w:color w:val="auto"/>
          <w:sz w:val="44"/>
          <w:lang w:val="zh-CN"/>
        </w:rPr>
      </w:pPr>
    </w:p>
    <w:p>
      <w:pPr>
        <w:spacing w:beforeLines="0" w:afterLines="0" w:line="276" w:lineRule="auto"/>
        <w:rPr>
          <w:rFonts w:hint="eastAsia" w:ascii="宋体" w:hAnsi="宋体"/>
          <w:b/>
          <w:color w:val="auto"/>
          <w:sz w:val="44"/>
          <w:lang w:val="zh-CN"/>
        </w:rPr>
      </w:pPr>
    </w:p>
    <w:p>
      <w:pPr>
        <w:spacing w:beforeLines="0" w:afterLines="0" w:line="276" w:lineRule="auto"/>
        <w:jc w:val="center"/>
        <w:rPr>
          <w:rFonts w:hint="default" w:ascii="Times New Roman" w:hAnsi="Times New Roman" w:eastAsia="Times New Roman"/>
          <w:b/>
          <w:color w:val="auto"/>
          <w:sz w:val="96"/>
          <w:lang w:val="en-US"/>
        </w:rPr>
      </w:pPr>
      <w:r>
        <w:rPr>
          <w:rFonts w:hint="eastAsia" w:ascii="宋体" w:hAnsi="宋体"/>
          <w:b/>
          <w:color w:val="auto"/>
          <w:sz w:val="96"/>
          <w:lang w:val="zh-CN"/>
        </w:rPr>
        <w:t>健康中国行动</w:t>
      </w:r>
    </w:p>
    <w:p>
      <w:pPr>
        <w:spacing w:beforeLines="0" w:afterLines="0" w:line="276" w:lineRule="auto"/>
        <w:jc w:val="center"/>
        <w:rPr>
          <w:rFonts w:hint="default" w:ascii="??_GB2312" w:hAnsi="??_GB2312" w:eastAsia="??_GB2312"/>
          <w:b/>
          <w:color w:val="auto"/>
          <w:sz w:val="52"/>
          <w:lang w:val="en-US"/>
        </w:rPr>
      </w:pPr>
      <w:r>
        <w:rPr>
          <w:rFonts w:hint="eastAsia" w:ascii="宋体" w:hAnsi="宋体"/>
          <w:b/>
          <w:color w:val="auto"/>
          <w:sz w:val="52"/>
          <w:lang w:val="zh-CN"/>
        </w:rPr>
        <w:t>（</w:t>
      </w:r>
      <w:r>
        <w:rPr>
          <w:rFonts w:hint="default" w:ascii="??_GB2312" w:hAnsi="??_GB2312" w:eastAsia="??_GB2312"/>
          <w:b/>
          <w:color w:val="auto"/>
          <w:sz w:val="52"/>
          <w:lang w:val="en-US"/>
        </w:rPr>
        <w:t>2019-2030</w:t>
      </w:r>
      <w:r>
        <w:rPr>
          <w:rFonts w:hint="eastAsia" w:ascii="宋体" w:hAnsi="宋体"/>
          <w:b/>
          <w:color w:val="auto"/>
          <w:sz w:val="52"/>
          <w:lang w:val="zh-CN"/>
        </w:rPr>
        <w:t>年）</w:t>
      </w:r>
    </w:p>
    <w:p>
      <w:pPr>
        <w:spacing w:beforeLines="0" w:afterLines="0" w:line="276" w:lineRule="auto"/>
        <w:jc w:val="center"/>
        <w:rPr>
          <w:rFonts w:hint="eastAsia" w:ascii="宋体" w:hAnsi="宋体"/>
          <w:b/>
          <w:color w:val="auto"/>
          <w:sz w:val="44"/>
          <w:lang w:val="zh-CN"/>
        </w:rPr>
      </w:pPr>
    </w:p>
    <w:p>
      <w:pPr>
        <w:spacing w:beforeLines="0" w:afterLines="0" w:line="620" w:lineRule="atLeast"/>
        <w:jc w:val="center"/>
        <w:rPr>
          <w:rFonts w:hint="eastAsia" w:ascii="宋体" w:hAnsi="宋体"/>
          <w:b/>
          <w:color w:val="auto"/>
          <w:sz w:val="44"/>
          <w:lang w:val="zh-CN"/>
        </w:rPr>
      </w:pPr>
    </w:p>
    <w:p>
      <w:pPr>
        <w:spacing w:beforeLines="0" w:afterLines="0"/>
        <w:rPr>
          <w:rFonts w:hint="eastAsia" w:ascii="宋体" w:hAnsi="宋体"/>
          <w:b/>
          <w:color w:val="auto"/>
          <w:sz w:val="44"/>
          <w:lang w:val="zh-CN"/>
        </w:rPr>
      </w:pPr>
    </w:p>
    <w:p>
      <w:pPr>
        <w:spacing w:beforeLines="0" w:afterLines="0" w:line="620" w:lineRule="atLeast"/>
        <w:rPr>
          <w:rFonts w:hint="eastAsia" w:ascii="宋体" w:hAnsi="宋体"/>
          <w:b/>
          <w:color w:val="auto"/>
          <w:sz w:val="44"/>
          <w:lang w:val="zh-CN"/>
        </w:rPr>
      </w:pPr>
    </w:p>
    <w:p>
      <w:pPr>
        <w:spacing w:beforeLines="0" w:afterLines="0" w:line="620" w:lineRule="atLeast"/>
        <w:jc w:val="center"/>
        <w:rPr>
          <w:rFonts w:hint="eastAsia" w:ascii="宋体" w:hAnsi="宋体"/>
          <w:b/>
          <w:color w:val="auto"/>
          <w:sz w:val="44"/>
          <w:lang w:val="zh-CN"/>
        </w:rPr>
      </w:pPr>
    </w:p>
    <w:p>
      <w:pPr>
        <w:spacing w:beforeLines="0" w:afterLines="0" w:line="620" w:lineRule="atLeast"/>
        <w:jc w:val="center"/>
        <w:rPr>
          <w:rFonts w:hint="eastAsia" w:ascii="宋体" w:hAnsi="宋体"/>
          <w:b/>
          <w:color w:val="auto"/>
          <w:sz w:val="44"/>
          <w:lang w:val="zh-CN"/>
        </w:rPr>
      </w:pPr>
    </w:p>
    <w:p>
      <w:pPr>
        <w:spacing w:beforeLines="0" w:afterLines="0" w:line="620" w:lineRule="atLeast"/>
        <w:rPr>
          <w:rFonts w:hint="eastAsia" w:ascii="宋体" w:hAnsi="宋体"/>
          <w:b/>
          <w:color w:val="auto"/>
          <w:sz w:val="44"/>
          <w:lang w:val="zh-CN"/>
        </w:rPr>
      </w:pPr>
    </w:p>
    <w:p>
      <w:pPr>
        <w:spacing w:beforeLines="0" w:afterLines="0" w:line="620" w:lineRule="atLeast"/>
        <w:jc w:val="center"/>
        <w:rPr>
          <w:rFonts w:hint="eastAsia" w:ascii="宋体" w:hAnsi="宋体"/>
          <w:b/>
          <w:color w:val="auto"/>
          <w:sz w:val="44"/>
          <w:lang w:val="zh-CN"/>
        </w:rPr>
      </w:pPr>
    </w:p>
    <w:p>
      <w:pPr>
        <w:spacing w:beforeLines="0" w:afterLines="0" w:line="620" w:lineRule="atLeast"/>
        <w:jc w:val="center"/>
        <w:rPr>
          <w:rFonts w:hint="eastAsia" w:ascii="宋体" w:hAnsi="宋体"/>
          <w:b/>
          <w:color w:val="auto"/>
          <w:sz w:val="44"/>
          <w:lang w:val="zh-CN"/>
        </w:rPr>
      </w:pPr>
    </w:p>
    <w:p>
      <w:pPr>
        <w:spacing w:beforeLines="0" w:afterLines="0" w:line="620" w:lineRule="atLeast"/>
        <w:jc w:val="center"/>
        <w:rPr>
          <w:rFonts w:hint="eastAsia" w:ascii="黑体" w:hAnsi="黑体" w:eastAsia="黑体"/>
          <w:color w:val="auto"/>
          <w:sz w:val="44"/>
          <w:lang w:val="zh-CN"/>
        </w:rPr>
      </w:pPr>
      <w:r>
        <w:rPr>
          <w:rFonts w:hint="eastAsia" w:ascii="黑体" w:hAnsi="黑体" w:eastAsia="黑体"/>
          <w:color w:val="auto"/>
          <w:sz w:val="44"/>
          <w:lang w:val="zh-CN"/>
        </w:rPr>
        <w:t>健康中国行动推进委员会</w:t>
      </w:r>
    </w:p>
    <w:p>
      <w:pPr>
        <w:spacing w:beforeLines="0" w:afterLines="0" w:line="620" w:lineRule="atLeast"/>
        <w:jc w:val="center"/>
        <w:rPr>
          <w:rFonts w:hint="eastAsia" w:ascii="黑体" w:hAnsi="黑体" w:eastAsia="黑体"/>
          <w:color w:val="auto"/>
          <w:sz w:val="44"/>
          <w:lang w:val="zh-CN"/>
        </w:rPr>
      </w:pPr>
      <w:r>
        <w:rPr>
          <w:rFonts w:hint="eastAsia" w:ascii="黑体" w:hAnsi="黑体" w:eastAsia="黑体"/>
          <w:color w:val="auto"/>
          <w:sz w:val="44"/>
          <w:lang w:val="zh-CN"/>
        </w:rPr>
        <w:t>2019年7月9日</w:t>
      </w:r>
    </w:p>
    <w:p>
      <w:pPr>
        <w:spacing w:beforeLines="0" w:afterLines="0" w:line="620" w:lineRule="atLeast"/>
        <w:jc w:val="center"/>
        <w:rPr>
          <w:rFonts w:hint="eastAsia" w:ascii="宋体" w:hAnsi="宋体"/>
          <w:color w:val="auto"/>
          <w:sz w:val="44"/>
          <w:lang w:val="zh-CN"/>
        </w:rPr>
      </w:pPr>
      <w:r>
        <w:rPr>
          <w:rFonts w:hint="eastAsia" w:ascii="宋体" w:hAnsi="宋体"/>
          <w:color w:val="auto"/>
          <w:sz w:val="44"/>
          <w:lang w:val="zh-CN"/>
        </w:rPr>
        <w:br w:type="page"/>
      </w:r>
    </w:p>
    <w:p>
      <w:pPr>
        <w:spacing w:beforeLines="0" w:afterLines="0" w:line="620" w:lineRule="atLeast"/>
        <w:jc w:val="center"/>
        <w:rPr>
          <w:rFonts w:hint="eastAsia" w:ascii="宋体" w:hAnsi="宋体"/>
          <w:color w:val="auto"/>
          <w:sz w:val="44"/>
          <w:lang w:val="zh-CN"/>
        </w:rPr>
      </w:pPr>
    </w:p>
    <w:p>
      <w:pPr>
        <w:spacing w:beforeLines="0" w:afterLines="0" w:line="620" w:lineRule="atLeast"/>
        <w:jc w:val="center"/>
        <w:rPr>
          <w:rFonts w:hint="default" w:ascii="Times New Roman" w:hAnsi="Times New Roman" w:eastAsia="Times New Roman"/>
          <w:b/>
          <w:color w:val="auto"/>
          <w:sz w:val="44"/>
          <w:lang w:val="en-US"/>
        </w:rPr>
      </w:pPr>
      <w:r>
        <w:rPr>
          <w:rFonts w:hint="eastAsia" w:ascii="宋体" w:hAnsi="宋体"/>
          <w:b/>
          <w:color w:val="auto"/>
          <w:sz w:val="44"/>
          <w:lang w:val="zh-CN"/>
        </w:rPr>
        <w:t>健康中国行动（</w:t>
      </w:r>
      <w:r>
        <w:rPr>
          <w:rFonts w:hint="default" w:ascii="Times New Roman" w:hAnsi="Times New Roman" w:eastAsia="Times New Roman"/>
          <w:b/>
          <w:color w:val="auto"/>
          <w:sz w:val="44"/>
          <w:lang w:val="en-US"/>
        </w:rPr>
        <w:t>2019</w:t>
      </w:r>
      <w:r>
        <w:rPr>
          <w:rFonts w:hint="default" w:ascii="宋体" w:hAnsi="宋体"/>
          <w:b/>
          <w:color w:val="auto"/>
          <w:sz w:val="44"/>
          <w:lang w:val="zh-CN"/>
        </w:rPr>
        <w:t>—</w:t>
      </w:r>
      <w:r>
        <w:rPr>
          <w:rFonts w:hint="default" w:ascii="Times New Roman" w:hAnsi="Times New Roman" w:eastAsia="Times New Roman"/>
          <w:b/>
          <w:color w:val="auto"/>
          <w:sz w:val="44"/>
          <w:lang w:val="en-US"/>
        </w:rPr>
        <w:t>2030</w:t>
      </w:r>
      <w:r>
        <w:rPr>
          <w:rFonts w:hint="eastAsia" w:ascii="宋体" w:hAnsi="宋体"/>
          <w:b/>
          <w:color w:val="auto"/>
          <w:sz w:val="44"/>
          <w:lang w:val="zh-CN"/>
        </w:rPr>
        <w:t>年）</w:t>
      </w:r>
    </w:p>
    <w:p>
      <w:pPr>
        <w:spacing w:beforeLines="0" w:afterLines="0" w:line="600" w:lineRule="atLeast"/>
        <w:rPr>
          <w:rFonts w:hint="default" w:ascii="Times New Roman" w:hAnsi="Times New Roman" w:eastAsia="Times New Roman"/>
          <w:color w:val="auto"/>
          <w:sz w:val="32"/>
          <w:lang w:val="en-US"/>
        </w:rPr>
      </w:pPr>
    </w:p>
    <w:p>
      <w:pPr>
        <w:tabs>
          <w:tab w:val="right" w:leader="dot" w:pos="8296"/>
        </w:tabs>
        <w:spacing w:beforeLines="0" w:afterLines="0" w:line="640" w:lineRule="atLeast"/>
        <w:rPr>
          <w:rFonts w:hint="default" w:ascii="Times New Roman" w:hAnsi="Times New Roman" w:eastAsia="Times New Roman"/>
          <w:b/>
          <w:color w:val="auto"/>
          <w:sz w:val="32"/>
          <w:lang w:val="en-US"/>
        </w:rPr>
      </w:pPr>
      <w:r>
        <w:rPr>
          <w:rFonts w:hint="eastAsia" w:ascii="宋体" w:hAnsi="宋体"/>
          <w:b/>
          <w:color w:val="auto"/>
          <w:sz w:val="32"/>
          <w:lang w:val="zh-CN"/>
        </w:rPr>
        <w:t>引言</w:t>
      </w:r>
      <w:r>
        <w:rPr>
          <w:rFonts w:hint="default" w:ascii="Times New Roman" w:hAnsi="Times New Roman" w:eastAsia="Times New Roman"/>
          <w:b/>
          <w:color w:val="auto"/>
          <w:sz w:val="32"/>
          <w:lang w:val="en-US"/>
        </w:rPr>
        <w:tab/>
      </w:r>
      <w:r>
        <w:rPr>
          <w:rFonts w:hint="default" w:ascii="Times New Roman" w:hAnsi="Times New Roman" w:eastAsia="Times New Roman"/>
          <w:b/>
          <w:color w:val="auto"/>
          <w:sz w:val="32"/>
          <w:lang w:val="en-US"/>
        </w:rPr>
        <w:t>25</w:t>
      </w:r>
    </w:p>
    <w:p>
      <w:pPr>
        <w:tabs>
          <w:tab w:val="right" w:leader="dot" w:pos="8296"/>
        </w:tabs>
        <w:spacing w:beforeLines="0" w:afterLines="0" w:line="640" w:lineRule="atLeast"/>
        <w:rPr>
          <w:rFonts w:hint="default" w:ascii="Times New Roman" w:hAnsi="Times New Roman" w:eastAsia="Times New Roman"/>
          <w:color w:val="auto"/>
          <w:sz w:val="32"/>
          <w:lang w:val="en-US"/>
        </w:rPr>
      </w:pPr>
      <w:r>
        <w:rPr>
          <w:rFonts w:hint="eastAsia" w:ascii="宋体" w:hAnsi="宋体"/>
          <w:b/>
          <w:color w:val="auto"/>
          <w:sz w:val="32"/>
          <w:lang w:val="zh-CN"/>
        </w:rPr>
        <w:t>一、总体要求</w:t>
      </w:r>
      <w:r>
        <w:rPr>
          <w:rFonts w:hint="default" w:ascii="Times New Roman" w:hAnsi="Times New Roman" w:eastAsia="Times New Roman"/>
          <w:b/>
          <w:color w:val="auto"/>
          <w:sz w:val="32"/>
          <w:lang w:val="en-US"/>
        </w:rPr>
        <w:tab/>
      </w:r>
      <w:r>
        <w:rPr>
          <w:rFonts w:hint="default" w:ascii="Times New Roman" w:hAnsi="Times New Roman" w:eastAsia="Times New Roman"/>
          <w:b/>
          <w:color w:val="auto"/>
          <w:sz w:val="32"/>
          <w:lang w:val="en-US"/>
        </w:rPr>
        <w:t>26</w:t>
      </w:r>
    </w:p>
    <w:p>
      <w:pPr>
        <w:tabs>
          <w:tab w:val="right" w:leader="dot" w:pos="8296"/>
        </w:tabs>
        <w:spacing w:beforeLines="0" w:afterLines="0" w:line="640" w:lineRule="atLeast"/>
        <w:rPr>
          <w:rFonts w:hint="default" w:ascii="Times New Roman" w:hAnsi="Times New Roman" w:eastAsia="Times New Roman"/>
          <w:color w:val="auto"/>
          <w:sz w:val="32"/>
          <w:lang w:val="en-US"/>
        </w:rPr>
      </w:pPr>
      <w:r>
        <w:rPr>
          <w:rFonts w:hint="eastAsia" w:ascii="宋体" w:hAnsi="宋体"/>
          <w:b/>
          <w:color w:val="auto"/>
          <w:sz w:val="32"/>
          <w:lang w:val="zh-CN"/>
        </w:rPr>
        <w:t>（一）指导思想</w:t>
      </w:r>
      <w:r>
        <w:rPr>
          <w:rFonts w:hint="default" w:ascii="Times New Roman" w:hAnsi="Times New Roman" w:eastAsia="Times New Roman"/>
          <w:b/>
          <w:color w:val="auto"/>
          <w:sz w:val="32"/>
          <w:lang w:val="en-US"/>
        </w:rPr>
        <w:tab/>
      </w:r>
      <w:r>
        <w:rPr>
          <w:rFonts w:hint="default" w:ascii="Times New Roman" w:hAnsi="Times New Roman" w:eastAsia="Times New Roman"/>
          <w:b/>
          <w:color w:val="auto"/>
          <w:sz w:val="32"/>
          <w:lang w:val="en-US"/>
        </w:rPr>
        <w:t>26</w:t>
      </w:r>
    </w:p>
    <w:p>
      <w:pPr>
        <w:tabs>
          <w:tab w:val="right" w:leader="dot" w:pos="8296"/>
        </w:tabs>
        <w:spacing w:beforeLines="0" w:afterLines="0" w:line="640" w:lineRule="atLeast"/>
        <w:rPr>
          <w:rFonts w:hint="default" w:ascii="Times New Roman" w:hAnsi="Times New Roman" w:eastAsia="Times New Roman"/>
          <w:color w:val="auto"/>
          <w:sz w:val="32"/>
          <w:lang w:val="en-US"/>
        </w:rPr>
      </w:pPr>
      <w:r>
        <w:rPr>
          <w:rFonts w:hint="eastAsia" w:ascii="宋体" w:hAnsi="宋体"/>
          <w:b/>
          <w:color w:val="auto"/>
          <w:sz w:val="32"/>
          <w:lang w:val="zh-CN"/>
        </w:rPr>
        <w:t>（二）基本路径</w:t>
      </w:r>
      <w:r>
        <w:rPr>
          <w:rFonts w:hint="default" w:ascii="Times New Roman" w:hAnsi="Times New Roman" w:eastAsia="Times New Roman"/>
          <w:b/>
          <w:color w:val="auto"/>
          <w:sz w:val="32"/>
          <w:lang w:val="en-US"/>
        </w:rPr>
        <w:tab/>
      </w:r>
      <w:r>
        <w:rPr>
          <w:rFonts w:hint="default" w:ascii="Times New Roman" w:hAnsi="Times New Roman" w:eastAsia="Times New Roman"/>
          <w:b/>
          <w:color w:val="auto"/>
          <w:sz w:val="32"/>
          <w:lang w:val="en-US"/>
        </w:rPr>
        <w:t>26</w:t>
      </w:r>
    </w:p>
    <w:p>
      <w:pPr>
        <w:tabs>
          <w:tab w:val="right" w:leader="dot" w:pos="8296"/>
        </w:tabs>
        <w:spacing w:beforeLines="0" w:afterLines="0" w:line="640" w:lineRule="atLeast"/>
        <w:rPr>
          <w:rFonts w:hint="default" w:ascii="Times New Roman" w:hAnsi="Times New Roman" w:eastAsia="Times New Roman"/>
          <w:color w:val="auto"/>
          <w:sz w:val="32"/>
          <w:lang w:val="en-US"/>
        </w:rPr>
      </w:pPr>
      <w:r>
        <w:rPr>
          <w:rFonts w:hint="eastAsia" w:ascii="宋体" w:hAnsi="宋体"/>
          <w:b/>
          <w:color w:val="auto"/>
          <w:sz w:val="32"/>
          <w:lang w:val="zh-CN"/>
        </w:rPr>
        <w:t>（三）总体目标</w:t>
      </w:r>
      <w:r>
        <w:rPr>
          <w:rFonts w:hint="default" w:ascii="Times New Roman" w:hAnsi="Times New Roman" w:eastAsia="Times New Roman"/>
          <w:b/>
          <w:color w:val="auto"/>
          <w:sz w:val="32"/>
          <w:lang w:val="en-US"/>
        </w:rPr>
        <w:tab/>
      </w:r>
      <w:r>
        <w:rPr>
          <w:rFonts w:hint="default" w:ascii="Times New Roman" w:hAnsi="Times New Roman" w:eastAsia="Times New Roman"/>
          <w:b/>
          <w:color w:val="auto"/>
          <w:sz w:val="32"/>
          <w:lang w:val="en-US"/>
        </w:rPr>
        <w:t>27</w:t>
      </w:r>
    </w:p>
    <w:p>
      <w:pPr>
        <w:tabs>
          <w:tab w:val="right" w:leader="dot" w:pos="8296"/>
        </w:tabs>
        <w:spacing w:beforeLines="0" w:afterLines="0" w:line="640" w:lineRule="atLeast"/>
        <w:rPr>
          <w:rFonts w:hint="default" w:ascii="Times New Roman" w:hAnsi="Times New Roman" w:eastAsia="Times New Roman"/>
          <w:color w:val="auto"/>
          <w:sz w:val="32"/>
          <w:lang w:val="en-US"/>
        </w:rPr>
      </w:pPr>
      <w:r>
        <w:rPr>
          <w:rFonts w:hint="eastAsia" w:ascii="宋体" w:hAnsi="宋体"/>
          <w:b/>
          <w:color w:val="auto"/>
          <w:sz w:val="32"/>
          <w:lang w:val="zh-CN"/>
        </w:rPr>
        <w:t>二、主要指标</w:t>
      </w:r>
      <w:r>
        <w:rPr>
          <w:rFonts w:hint="default" w:ascii="Times New Roman" w:hAnsi="Times New Roman" w:eastAsia="Times New Roman"/>
          <w:b/>
          <w:color w:val="auto"/>
          <w:sz w:val="32"/>
          <w:lang w:val="en-US"/>
        </w:rPr>
        <w:tab/>
      </w:r>
      <w:r>
        <w:rPr>
          <w:rFonts w:hint="default" w:ascii="Times New Roman" w:hAnsi="Times New Roman" w:eastAsia="Times New Roman"/>
          <w:b/>
          <w:color w:val="auto"/>
          <w:sz w:val="32"/>
          <w:lang w:val="en-US"/>
        </w:rPr>
        <w:t>28</w:t>
      </w:r>
    </w:p>
    <w:p>
      <w:pPr>
        <w:tabs>
          <w:tab w:val="right" w:leader="dot" w:pos="8296"/>
        </w:tabs>
        <w:spacing w:beforeLines="0" w:afterLines="0" w:line="640" w:lineRule="atLeast"/>
        <w:rPr>
          <w:rFonts w:hint="default" w:ascii="Times New Roman" w:hAnsi="Times New Roman" w:eastAsia="Times New Roman"/>
          <w:color w:val="auto"/>
          <w:sz w:val="32"/>
          <w:lang w:val="en-US"/>
        </w:rPr>
      </w:pPr>
      <w:r>
        <w:rPr>
          <w:rFonts w:hint="eastAsia" w:ascii="宋体" w:hAnsi="宋体"/>
          <w:b/>
          <w:color w:val="auto"/>
          <w:sz w:val="32"/>
          <w:lang w:val="zh-CN"/>
        </w:rPr>
        <w:t>三、重大行动</w:t>
      </w:r>
      <w:r>
        <w:rPr>
          <w:rFonts w:hint="default" w:ascii="Times New Roman" w:hAnsi="Times New Roman" w:eastAsia="Times New Roman"/>
          <w:b/>
          <w:color w:val="auto"/>
          <w:sz w:val="32"/>
          <w:lang w:val="en-US"/>
        </w:rPr>
        <w:tab/>
      </w:r>
      <w:r>
        <w:rPr>
          <w:rFonts w:hint="default" w:ascii="Times New Roman" w:hAnsi="Times New Roman" w:eastAsia="Times New Roman"/>
          <w:b/>
          <w:color w:val="auto"/>
          <w:sz w:val="32"/>
          <w:lang w:val="en-US"/>
        </w:rPr>
        <w:t>41</w:t>
      </w:r>
    </w:p>
    <w:p>
      <w:pPr>
        <w:tabs>
          <w:tab w:val="right" w:leader="dot" w:pos="8296"/>
        </w:tabs>
        <w:spacing w:beforeLines="0" w:afterLines="0" w:line="640" w:lineRule="atLeast"/>
        <w:rPr>
          <w:rFonts w:hint="default" w:ascii="Times New Roman" w:hAnsi="Times New Roman" w:eastAsia="Times New Roman"/>
          <w:b/>
          <w:color w:val="auto"/>
          <w:sz w:val="32"/>
          <w:lang w:val="en-US"/>
        </w:rPr>
      </w:pPr>
      <w:r>
        <w:rPr>
          <w:rFonts w:hint="eastAsia" w:ascii="宋体" w:hAnsi="宋体"/>
          <w:b/>
          <w:color w:val="auto"/>
          <w:sz w:val="32"/>
          <w:lang w:val="zh-CN"/>
        </w:rPr>
        <w:t>（一）健康知识普及行动</w:t>
      </w:r>
      <w:r>
        <w:rPr>
          <w:rFonts w:hint="default" w:ascii="Times New Roman" w:hAnsi="Times New Roman" w:eastAsia="Times New Roman"/>
          <w:b/>
          <w:color w:val="auto"/>
          <w:sz w:val="32"/>
          <w:lang w:val="en-US"/>
        </w:rPr>
        <w:tab/>
      </w:r>
      <w:r>
        <w:rPr>
          <w:rFonts w:hint="default" w:ascii="Times New Roman" w:hAnsi="Times New Roman" w:eastAsia="Times New Roman"/>
          <w:b/>
          <w:color w:val="auto"/>
          <w:sz w:val="32"/>
          <w:lang w:val="en-US"/>
        </w:rPr>
        <w:t>41</w:t>
      </w:r>
    </w:p>
    <w:p>
      <w:pPr>
        <w:spacing w:beforeLines="0" w:afterLines="0" w:line="600" w:lineRule="atLeast"/>
        <w:ind w:firstLine="600"/>
        <w:rPr>
          <w:rFonts w:hint="default" w:ascii="Times New Roman" w:hAnsi="Times New Roman" w:eastAsia="Times New Roman"/>
          <w:color w:val="auto"/>
          <w:sz w:val="30"/>
          <w:lang w:val="en-US"/>
        </w:rPr>
      </w:pPr>
      <w:r>
        <w:rPr>
          <w:rFonts w:hint="eastAsia" w:ascii="宋体" w:hAnsi="宋体"/>
          <w:color w:val="auto"/>
          <w:sz w:val="30"/>
          <w:lang w:val="zh-CN"/>
        </w:rPr>
        <w:t>每个人是自己健康的第一责任人。世界卫生组织研究发现，个人行为与生活方式因素对健康的影响占到</w:t>
      </w:r>
      <w:r>
        <w:rPr>
          <w:rFonts w:hint="default" w:ascii="Times New Roman" w:hAnsi="Times New Roman" w:eastAsia="Times New Roman"/>
          <w:color w:val="auto"/>
          <w:sz w:val="30"/>
          <w:lang w:val="en-US"/>
        </w:rPr>
        <w:t>60%</w:t>
      </w:r>
      <w:r>
        <w:rPr>
          <w:rFonts w:hint="eastAsia" w:ascii="宋体" w:hAnsi="宋体"/>
          <w:color w:val="auto"/>
          <w:sz w:val="30"/>
          <w:lang w:val="zh-CN"/>
        </w:rPr>
        <w:t>。本行动旨在帮助每个人学习、了解、掌握有关预防疾病、早期发现、紧急救援、及时就医、合理用药等维护健康的知识与技能，增强自我主动健康意识，不断提高健康管理能力。</w:t>
      </w:r>
    </w:p>
    <w:p>
      <w:pPr>
        <w:tabs>
          <w:tab w:val="right" w:leader="dot" w:pos="8296"/>
        </w:tabs>
        <w:spacing w:beforeLines="0" w:afterLines="0" w:line="640" w:lineRule="atLeast"/>
        <w:rPr>
          <w:rFonts w:hint="default" w:ascii="Times New Roman" w:hAnsi="Times New Roman" w:eastAsia="Times New Roman"/>
          <w:b/>
          <w:color w:val="auto"/>
          <w:sz w:val="32"/>
          <w:lang w:val="en-US"/>
        </w:rPr>
      </w:pPr>
      <w:r>
        <w:rPr>
          <w:rFonts w:hint="eastAsia" w:ascii="宋体" w:hAnsi="宋体"/>
          <w:b/>
          <w:color w:val="auto"/>
          <w:sz w:val="32"/>
          <w:lang w:val="zh-CN"/>
        </w:rPr>
        <w:t>（二）合理膳食行动</w:t>
      </w:r>
      <w:r>
        <w:rPr>
          <w:rFonts w:hint="default" w:ascii="Times New Roman" w:hAnsi="Times New Roman" w:eastAsia="Times New Roman"/>
          <w:b/>
          <w:color w:val="auto"/>
          <w:sz w:val="32"/>
          <w:lang w:val="en-US"/>
        </w:rPr>
        <w:tab/>
      </w:r>
      <w:r>
        <w:rPr>
          <w:rFonts w:hint="default" w:ascii="Times New Roman" w:hAnsi="Times New Roman" w:eastAsia="Times New Roman"/>
          <w:b/>
          <w:color w:val="auto"/>
          <w:sz w:val="32"/>
          <w:lang w:val="en-US"/>
        </w:rPr>
        <w:t>47</w:t>
      </w:r>
    </w:p>
    <w:p>
      <w:pPr>
        <w:spacing w:beforeLines="0" w:afterLines="0" w:line="600" w:lineRule="atLeast"/>
        <w:ind w:firstLine="600"/>
        <w:rPr>
          <w:rFonts w:hint="default" w:ascii="Times New Roman" w:hAnsi="Times New Roman" w:eastAsia="Times New Roman"/>
          <w:color w:val="auto"/>
          <w:sz w:val="32"/>
          <w:lang w:val="en-US"/>
        </w:rPr>
      </w:pPr>
      <w:r>
        <w:rPr>
          <w:rFonts w:hint="eastAsia" w:ascii="宋体" w:hAnsi="宋体"/>
          <w:color w:val="auto"/>
          <w:sz w:val="30"/>
          <w:lang w:val="zh-CN"/>
        </w:rPr>
        <w:t>合理膳食是健康的基础。研究结果显示，饮食风险因素导致的疾病负担占到</w:t>
      </w:r>
      <w:r>
        <w:rPr>
          <w:rFonts w:hint="default" w:ascii="Times New Roman" w:hAnsi="Times New Roman" w:eastAsia="Times New Roman"/>
          <w:color w:val="auto"/>
          <w:sz w:val="30"/>
          <w:lang w:val="en-US"/>
        </w:rPr>
        <w:t>15.9%</w:t>
      </w:r>
      <w:r>
        <w:rPr>
          <w:rFonts w:hint="eastAsia" w:ascii="宋体" w:hAnsi="宋体"/>
          <w:color w:val="auto"/>
          <w:sz w:val="30"/>
          <w:lang w:val="zh-CN"/>
        </w:rPr>
        <w:t>，已成为影响人群健康的主要危险因素。本行动旨在对一般人群、超重和肥胖人群、贫血与消瘦等营养不良人群、孕妇和婴幼儿等特定人群，分别给出膳食指导建议，并提出政府和社会应采取的主要举措。</w:t>
      </w:r>
    </w:p>
    <w:p>
      <w:pPr>
        <w:tabs>
          <w:tab w:val="right" w:leader="dot" w:pos="8296"/>
        </w:tabs>
        <w:spacing w:beforeLines="0" w:afterLines="0" w:line="640" w:lineRule="atLeast"/>
        <w:rPr>
          <w:rFonts w:hint="default" w:ascii="Times New Roman" w:hAnsi="Times New Roman" w:eastAsia="Times New Roman"/>
          <w:b/>
          <w:color w:val="auto"/>
          <w:sz w:val="32"/>
          <w:lang w:val="en-US"/>
        </w:rPr>
      </w:pPr>
      <w:r>
        <w:rPr>
          <w:rFonts w:hint="eastAsia" w:ascii="宋体" w:hAnsi="宋体"/>
          <w:b/>
          <w:color w:val="auto"/>
          <w:sz w:val="32"/>
          <w:lang w:val="zh-CN"/>
        </w:rPr>
        <w:t>（三）全民健身行动</w:t>
      </w:r>
      <w:r>
        <w:rPr>
          <w:rFonts w:hint="default" w:ascii="Times New Roman" w:hAnsi="Times New Roman" w:eastAsia="Times New Roman"/>
          <w:b/>
          <w:color w:val="auto"/>
          <w:sz w:val="32"/>
          <w:lang w:val="en-US"/>
        </w:rPr>
        <w:tab/>
      </w:r>
      <w:r>
        <w:rPr>
          <w:rFonts w:hint="default" w:ascii="Times New Roman" w:hAnsi="Times New Roman" w:eastAsia="Times New Roman"/>
          <w:b/>
          <w:color w:val="auto"/>
          <w:sz w:val="32"/>
          <w:lang w:val="en-US"/>
        </w:rPr>
        <w:t>53</w:t>
      </w:r>
    </w:p>
    <w:p>
      <w:pPr>
        <w:spacing w:beforeLines="0" w:afterLines="0" w:line="600" w:lineRule="atLeast"/>
        <w:ind w:firstLine="600"/>
        <w:rPr>
          <w:rFonts w:hint="default" w:ascii="Times New Roman" w:hAnsi="Times New Roman" w:eastAsia="Times New Roman"/>
          <w:color w:val="auto"/>
          <w:sz w:val="32"/>
          <w:lang w:val="en-US"/>
        </w:rPr>
      </w:pPr>
      <w:r>
        <w:rPr>
          <w:rFonts w:hint="eastAsia" w:ascii="宋体" w:hAnsi="宋体"/>
          <w:color w:val="auto"/>
          <w:sz w:val="30"/>
          <w:lang w:val="zh-CN"/>
        </w:rPr>
        <w:t>生命在于运动，运动需要科学。我国城乡居民经常参加体育锻炼的比例为</w:t>
      </w:r>
      <w:r>
        <w:rPr>
          <w:rFonts w:hint="default" w:ascii="Times New Roman" w:hAnsi="Times New Roman" w:eastAsia="Times New Roman"/>
          <w:color w:val="auto"/>
          <w:sz w:val="30"/>
          <w:lang w:val="en-US"/>
        </w:rPr>
        <w:t>33.9%</w:t>
      </w:r>
      <w:r>
        <w:rPr>
          <w:rFonts w:hint="eastAsia" w:ascii="宋体" w:hAnsi="宋体"/>
          <w:color w:val="auto"/>
          <w:sz w:val="30"/>
          <w:lang w:val="zh-CN"/>
        </w:rPr>
        <w:t>，缺乏身体活动成为慢性病发生的主要原因之一。本行动主要对健康成年人、老年人、单纯性肥胖患者以及以体力劳动为主的人群，分别给出身体活动指导建议，并提出政府和社会应采取的主要举措。</w:t>
      </w:r>
    </w:p>
    <w:p>
      <w:pPr>
        <w:tabs>
          <w:tab w:val="right" w:leader="dot" w:pos="8296"/>
        </w:tabs>
        <w:spacing w:beforeLines="0" w:afterLines="0" w:line="640" w:lineRule="atLeast"/>
        <w:rPr>
          <w:rFonts w:hint="default" w:ascii="Times New Roman" w:hAnsi="Times New Roman" w:eastAsia="Times New Roman"/>
          <w:b/>
          <w:color w:val="auto"/>
          <w:sz w:val="32"/>
          <w:lang w:val="en-US"/>
        </w:rPr>
      </w:pPr>
      <w:r>
        <w:rPr>
          <w:rFonts w:hint="eastAsia" w:ascii="宋体" w:hAnsi="宋体"/>
          <w:b/>
          <w:color w:val="auto"/>
          <w:sz w:val="32"/>
          <w:lang w:val="zh-CN"/>
        </w:rPr>
        <w:t>（四）控烟行动</w:t>
      </w:r>
      <w:r>
        <w:rPr>
          <w:rFonts w:hint="default" w:ascii="Times New Roman" w:hAnsi="Times New Roman" w:eastAsia="Times New Roman"/>
          <w:b/>
          <w:color w:val="auto"/>
          <w:sz w:val="32"/>
          <w:lang w:val="en-US"/>
        </w:rPr>
        <w:tab/>
      </w:r>
      <w:r>
        <w:rPr>
          <w:rFonts w:hint="default" w:ascii="Arial" w:hAnsi="Arial" w:eastAsia="Times New Roman"/>
          <w:b/>
          <w:color w:val="auto"/>
          <w:sz w:val="32"/>
          <w:lang w:val="en-US"/>
        </w:rPr>
        <w:t>…</w:t>
      </w:r>
      <w:r>
        <w:rPr>
          <w:rFonts w:hint="default" w:ascii="Times New Roman" w:hAnsi="Times New Roman" w:eastAsia="Times New Roman"/>
          <w:b/>
          <w:color w:val="auto"/>
          <w:sz w:val="32"/>
          <w:lang w:val="en-US"/>
        </w:rPr>
        <w:t>58</w:t>
      </w:r>
    </w:p>
    <w:p>
      <w:pPr>
        <w:tabs>
          <w:tab w:val="right" w:leader="dot" w:pos="8296"/>
        </w:tabs>
        <w:spacing w:beforeLines="0" w:afterLines="0" w:line="600" w:lineRule="atLeast"/>
        <w:ind w:firstLine="600"/>
        <w:rPr>
          <w:rFonts w:hint="default" w:ascii="Times New Roman" w:hAnsi="Times New Roman" w:eastAsia="Times New Roman"/>
          <w:color w:val="auto"/>
          <w:sz w:val="30"/>
          <w:lang w:val="en-US"/>
        </w:rPr>
      </w:pPr>
      <w:r>
        <w:rPr>
          <w:rFonts w:hint="eastAsia" w:ascii="宋体" w:hAnsi="宋体"/>
          <w:color w:val="auto"/>
          <w:sz w:val="30"/>
          <w:lang w:val="zh-CN"/>
        </w:rPr>
        <w:t>烟草严重危害人民健康。根据世界卫生组织报告，每</w:t>
      </w:r>
      <w:r>
        <w:rPr>
          <w:rFonts w:hint="default" w:ascii="Times New Roman" w:hAnsi="Times New Roman" w:eastAsia="Times New Roman"/>
          <w:color w:val="auto"/>
          <w:sz w:val="30"/>
          <w:lang w:val="en-US"/>
        </w:rPr>
        <w:t>3</w:t>
      </w:r>
      <w:r>
        <w:rPr>
          <w:rFonts w:hint="eastAsia" w:ascii="宋体" w:hAnsi="宋体"/>
          <w:color w:val="auto"/>
          <w:sz w:val="30"/>
          <w:lang w:val="zh-CN"/>
        </w:rPr>
        <w:t>个吸烟者中就有</w:t>
      </w:r>
      <w:r>
        <w:rPr>
          <w:rFonts w:hint="default" w:ascii="Times New Roman" w:hAnsi="Times New Roman" w:eastAsia="Times New Roman"/>
          <w:color w:val="auto"/>
          <w:sz w:val="30"/>
          <w:lang w:val="en-US"/>
        </w:rPr>
        <w:t>1</w:t>
      </w:r>
      <w:r>
        <w:rPr>
          <w:rFonts w:hint="eastAsia" w:ascii="宋体" w:hAnsi="宋体"/>
          <w:color w:val="auto"/>
          <w:sz w:val="30"/>
          <w:lang w:val="zh-CN"/>
        </w:rPr>
        <w:t>个死于吸烟相关疾病，吸烟者的平均寿命比非吸烟者缩短</w:t>
      </w:r>
      <w:r>
        <w:rPr>
          <w:rFonts w:hint="default" w:ascii="Times New Roman" w:hAnsi="Times New Roman" w:eastAsia="Times New Roman"/>
          <w:color w:val="auto"/>
          <w:sz w:val="30"/>
          <w:lang w:val="en-US"/>
        </w:rPr>
        <w:t>10</w:t>
      </w:r>
      <w:r>
        <w:rPr>
          <w:rFonts w:hint="eastAsia" w:ascii="宋体" w:hAnsi="宋体"/>
          <w:color w:val="auto"/>
          <w:sz w:val="30"/>
          <w:lang w:val="zh-CN"/>
        </w:rPr>
        <w:t>年。本行动针对烟草危害，提出了个人和家庭、社会、政府应采取的主要举措。</w:t>
      </w:r>
    </w:p>
    <w:p>
      <w:pPr>
        <w:tabs>
          <w:tab w:val="right" w:leader="dot" w:pos="8296"/>
        </w:tabs>
        <w:spacing w:beforeLines="0" w:afterLines="0" w:line="640" w:lineRule="atLeast"/>
        <w:rPr>
          <w:rFonts w:hint="default" w:ascii="Times New Roman" w:hAnsi="Times New Roman" w:eastAsia="Times New Roman"/>
          <w:b/>
          <w:color w:val="auto"/>
          <w:sz w:val="32"/>
          <w:lang w:val="en-US"/>
        </w:rPr>
      </w:pPr>
      <w:r>
        <w:rPr>
          <w:rFonts w:hint="eastAsia" w:ascii="宋体" w:hAnsi="宋体"/>
          <w:b/>
          <w:color w:val="auto"/>
          <w:sz w:val="32"/>
          <w:lang w:val="zh-CN"/>
        </w:rPr>
        <w:t>（五）心理健康促进行动</w:t>
      </w:r>
      <w:r>
        <w:rPr>
          <w:rFonts w:hint="default" w:ascii="Times New Roman" w:hAnsi="Times New Roman" w:eastAsia="Times New Roman"/>
          <w:b/>
          <w:color w:val="auto"/>
          <w:sz w:val="32"/>
          <w:lang w:val="en-US"/>
        </w:rPr>
        <w:tab/>
      </w:r>
      <w:r>
        <w:rPr>
          <w:rFonts w:hint="default" w:ascii="Arial" w:hAnsi="Arial" w:eastAsia="Times New Roman"/>
          <w:b/>
          <w:color w:val="auto"/>
          <w:sz w:val="32"/>
          <w:lang w:val="en-US"/>
        </w:rPr>
        <w:t>…</w:t>
      </w:r>
      <w:r>
        <w:rPr>
          <w:rFonts w:hint="default" w:ascii="Times New Roman" w:hAnsi="Times New Roman" w:eastAsia="Times New Roman"/>
          <w:b/>
          <w:color w:val="auto"/>
          <w:sz w:val="32"/>
          <w:lang w:val="en-US"/>
        </w:rPr>
        <w:t>62</w:t>
      </w:r>
    </w:p>
    <w:p>
      <w:pPr>
        <w:spacing w:beforeLines="0" w:afterLines="0" w:line="600" w:lineRule="atLeast"/>
        <w:ind w:firstLine="600"/>
        <w:rPr>
          <w:rFonts w:hint="default" w:ascii="Times New Roman" w:hAnsi="Times New Roman" w:eastAsia="Times New Roman"/>
          <w:color w:val="auto"/>
          <w:sz w:val="32"/>
          <w:lang w:val="en-US"/>
        </w:rPr>
      </w:pPr>
      <w:r>
        <w:rPr>
          <w:rFonts w:hint="eastAsia" w:ascii="宋体" w:hAnsi="宋体"/>
          <w:color w:val="auto"/>
          <w:sz w:val="30"/>
          <w:lang w:val="zh-CN"/>
        </w:rPr>
        <w:t>心理健康是健康的重要组成部分。近年来，我国以抑郁障碍为主的心境障碍和焦虑障碍患病率呈上升趋势，抑郁症患病率为</w:t>
      </w:r>
      <w:r>
        <w:rPr>
          <w:rFonts w:hint="default" w:ascii="Times New Roman" w:hAnsi="Times New Roman" w:eastAsia="Times New Roman"/>
          <w:color w:val="auto"/>
          <w:sz w:val="30"/>
          <w:lang w:val="en-US"/>
        </w:rPr>
        <w:t>2.1%</w:t>
      </w:r>
      <w:r>
        <w:rPr>
          <w:rFonts w:hint="eastAsia" w:ascii="宋体" w:hAnsi="宋体"/>
          <w:color w:val="auto"/>
          <w:sz w:val="30"/>
          <w:lang w:val="zh-CN"/>
        </w:rPr>
        <w:t>，焦虑障碍患病率达</w:t>
      </w:r>
      <w:r>
        <w:rPr>
          <w:rFonts w:hint="default" w:ascii="Times New Roman" w:hAnsi="Times New Roman" w:eastAsia="Times New Roman"/>
          <w:color w:val="auto"/>
          <w:sz w:val="30"/>
          <w:lang w:val="en-US"/>
        </w:rPr>
        <w:t>4.98%</w:t>
      </w:r>
      <w:r>
        <w:rPr>
          <w:rFonts w:hint="eastAsia" w:ascii="宋体" w:hAnsi="宋体"/>
          <w:color w:val="auto"/>
          <w:sz w:val="30"/>
          <w:lang w:val="zh-CN"/>
        </w:rPr>
        <w:t>。本行动给出正确认识、识别、应对常见精神障碍和心理行为问题，特别是抑郁症、焦虑症的建议，并提出社会和政府应采取的主要举措。</w:t>
      </w:r>
    </w:p>
    <w:p>
      <w:pPr>
        <w:tabs>
          <w:tab w:val="right" w:leader="dot" w:pos="8296"/>
        </w:tabs>
        <w:spacing w:beforeLines="0" w:afterLines="0" w:line="640" w:lineRule="atLeast"/>
        <w:rPr>
          <w:rFonts w:hint="default" w:ascii="Times New Roman" w:hAnsi="Times New Roman" w:eastAsia="Times New Roman"/>
          <w:b/>
          <w:color w:val="auto"/>
          <w:sz w:val="32"/>
          <w:lang w:val="en-US"/>
        </w:rPr>
      </w:pPr>
      <w:r>
        <w:rPr>
          <w:rFonts w:hint="eastAsia" w:ascii="宋体" w:hAnsi="宋体"/>
          <w:b/>
          <w:color w:val="auto"/>
          <w:sz w:val="32"/>
          <w:lang w:val="zh-CN"/>
        </w:rPr>
        <w:t>（六）健康环境促进行动</w:t>
      </w:r>
      <w:r>
        <w:rPr>
          <w:rFonts w:hint="default" w:ascii="Times New Roman" w:hAnsi="Times New Roman" w:eastAsia="Times New Roman"/>
          <w:b/>
          <w:color w:val="auto"/>
          <w:sz w:val="32"/>
          <w:lang w:val="en-US"/>
        </w:rPr>
        <w:tab/>
      </w:r>
      <w:r>
        <w:rPr>
          <w:rFonts w:hint="default" w:ascii="Arial" w:hAnsi="Arial" w:eastAsia="Times New Roman"/>
          <w:b/>
          <w:color w:val="auto"/>
          <w:sz w:val="32"/>
          <w:lang w:val="en-US"/>
        </w:rPr>
        <w:t>…</w:t>
      </w:r>
      <w:r>
        <w:rPr>
          <w:rFonts w:hint="default" w:ascii="Times New Roman" w:hAnsi="Times New Roman" w:eastAsia="Times New Roman"/>
          <w:b/>
          <w:color w:val="auto"/>
          <w:sz w:val="32"/>
          <w:lang w:val="en-US"/>
        </w:rPr>
        <w:t>69</w:t>
      </w:r>
    </w:p>
    <w:p>
      <w:pPr>
        <w:spacing w:beforeLines="0" w:afterLines="0" w:line="600" w:lineRule="atLeast"/>
        <w:ind w:firstLine="600"/>
        <w:rPr>
          <w:rFonts w:hint="default" w:ascii="Times New Roman" w:hAnsi="Times New Roman" w:eastAsia="Times New Roman"/>
          <w:color w:val="auto"/>
          <w:sz w:val="32"/>
          <w:lang w:val="en-US"/>
        </w:rPr>
      </w:pPr>
      <w:r>
        <w:rPr>
          <w:rFonts w:hint="eastAsia" w:ascii="宋体" w:hAnsi="宋体"/>
          <w:color w:val="auto"/>
          <w:sz w:val="30"/>
          <w:lang w:val="zh-CN"/>
        </w:rPr>
        <w:t>良好的环境是健康的保障。世界卫生组织研究发现，环境因素对健康的影响占到</w:t>
      </w:r>
      <w:r>
        <w:rPr>
          <w:rFonts w:hint="default" w:ascii="Times New Roman" w:hAnsi="Times New Roman" w:eastAsia="Times New Roman"/>
          <w:color w:val="auto"/>
          <w:sz w:val="30"/>
          <w:lang w:val="en-US"/>
        </w:rPr>
        <w:t>17%</w:t>
      </w:r>
      <w:r>
        <w:rPr>
          <w:rFonts w:hint="eastAsia" w:ascii="宋体" w:hAnsi="宋体"/>
          <w:color w:val="auto"/>
          <w:sz w:val="30"/>
          <w:lang w:val="zh-CN"/>
        </w:rPr>
        <w:t>。爱国卫生运动是促进健康环境的有效手段。本行动主要针对影响健康的空气、水、土壤等自然环境问题，室内污染等家居环境风险，道路交通伤害等社会环境危险因素，分别给出健康防护和应对建议，并提出政府和社会应采取的主要举措。</w:t>
      </w:r>
    </w:p>
    <w:p>
      <w:pPr>
        <w:tabs>
          <w:tab w:val="right" w:leader="dot" w:pos="8296"/>
        </w:tabs>
        <w:spacing w:beforeLines="0" w:afterLines="0" w:line="600" w:lineRule="atLeast"/>
        <w:rPr>
          <w:rFonts w:hint="default" w:ascii="Times New Roman" w:hAnsi="Times New Roman" w:eastAsia="Times New Roman"/>
          <w:b/>
          <w:color w:val="auto"/>
          <w:sz w:val="32"/>
          <w:lang w:val="en-US"/>
        </w:rPr>
      </w:pPr>
      <w:r>
        <w:rPr>
          <w:rFonts w:hint="eastAsia" w:ascii="宋体" w:hAnsi="宋体"/>
          <w:b/>
          <w:color w:val="auto"/>
          <w:sz w:val="32"/>
          <w:lang w:val="zh-CN"/>
        </w:rPr>
        <w:t>（七）妇幼健康促进行动…</w:t>
      </w:r>
      <w:r>
        <w:rPr>
          <w:rFonts w:hint="default" w:ascii="Times New Roman" w:hAnsi="Times New Roman" w:eastAsia="Times New Roman"/>
          <w:b/>
          <w:color w:val="auto"/>
          <w:sz w:val="32"/>
          <w:lang w:val="en-US"/>
        </w:rPr>
        <w:tab/>
      </w:r>
      <w:r>
        <w:rPr>
          <w:rFonts w:hint="default" w:ascii="Times New Roman" w:hAnsi="Times New Roman" w:eastAsia="Times New Roman"/>
          <w:b/>
          <w:color w:val="auto"/>
          <w:sz w:val="32"/>
          <w:lang w:val="en-US"/>
        </w:rPr>
        <w:t>75</w:t>
      </w:r>
    </w:p>
    <w:p>
      <w:pPr>
        <w:spacing w:beforeLines="0" w:afterLines="0" w:line="600" w:lineRule="atLeast"/>
        <w:ind w:firstLine="600"/>
        <w:rPr>
          <w:rFonts w:hint="default" w:ascii="Times New Roman" w:hAnsi="Times New Roman" w:eastAsia="Times New Roman"/>
          <w:color w:val="auto"/>
          <w:sz w:val="32"/>
          <w:lang w:val="en-US"/>
        </w:rPr>
      </w:pPr>
      <w:r>
        <w:rPr>
          <w:rFonts w:hint="eastAsia" w:ascii="宋体" w:hAnsi="宋体"/>
          <w:color w:val="auto"/>
          <w:sz w:val="30"/>
          <w:lang w:val="zh-CN"/>
        </w:rPr>
        <w:t>妇幼健康是全民健康的基础。我国出生缺陷多发，妇女</w:t>
      </w:r>
      <w:r>
        <w:rPr>
          <w:rFonts w:hint="default" w:ascii="宋体" w:hAnsi="宋体"/>
          <w:color w:val="auto"/>
          <w:sz w:val="30"/>
          <w:lang w:val="zh-CN"/>
        </w:rPr>
        <w:t>“</w:t>
      </w:r>
      <w:r>
        <w:rPr>
          <w:rFonts w:hint="eastAsia" w:ascii="宋体" w:hAnsi="宋体"/>
          <w:color w:val="auto"/>
          <w:sz w:val="30"/>
          <w:lang w:val="zh-CN"/>
        </w:rPr>
        <w:t>两癌</w:t>
      </w:r>
      <w:r>
        <w:rPr>
          <w:rFonts w:hint="default" w:ascii="宋体" w:hAnsi="宋体"/>
          <w:color w:val="auto"/>
          <w:sz w:val="30"/>
          <w:lang w:val="zh-CN"/>
        </w:rPr>
        <w:t>”</w:t>
      </w:r>
      <w:r>
        <w:rPr>
          <w:rFonts w:hint="eastAsia" w:ascii="宋体" w:hAnsi="宋体"/>
          <w:color w:val="auto"/>
          <w:sz w:val="30"/>
          <w:lang w:val="zh-CN"/>
        </w:rPr>
        <w:t>高发，严重影响妇幼的生存和生活质量，影响人口素质和家庭幸福。本行动主要针对婚前和孕前、孕期、新生儿和儿童早期各阶段分别给出妇幼健康促进建议，并提出政府和社会应采取的主要举措。</w:t>
      </w:r>
    </w:p>
    <w:p>
      <w:pPr>
        <w:tabs>
          <w:tab w:val="right" w:leader="dot" w:pos="8296"/>
        </w:tabs>
        <w:spacing w:beforeLines="0" w:afterLines="0" w:line="600" w:lineRule="atLeast"/>
        <w:rPr>
          <w:rFonts w:hint="default" w:ascii="Times New Roman" w:hAnsi="Times New Roman" w:eastAsia="Times New Roman"/>
          <w:b/>
          <w:color w:val="auto"/>
          <w:sz w:val="32"/>
          <w:lang w:val="en-US"/>
        </w:rPr>
      </w:pPr>
      <w:r>
        <w:rPr>
          <w:rFonts w:hint="eastAsia" w:ascii="宋体" w:hAnsi="宋体"/>
          <w:b/>
          <w:color w:val="auto"/>
          <w:sz w:val="32"/>
          <w:lang w:val="zh-CN"/>
        </w:rPr>
        <w:t>（八）中小学健康促进行动</w:t>
      </w:r>
      <w:r>
        <w:rPr>
          <w:rFonts w:hint="default" w:ascii="Times New Roman" w:hAnsi="Times New Roman" w:eastAsia="Times New Roman"/>
          <w:b/>
          <w:color w:val="auto"/>
          <w:sz w:val="32"/>
          <w:lang w:val="en-US"/>
        </w:rPr>
        <w:tab/>
      </w:r>
      <w:r>
        <w:rPr>
          <w:rFonts w:hint="default" w:ascii="Times New Roman" w:hAnsi="Times New Roman" w:eastAsia="Times New Roman"/>
          <w:b/>
          <w:color w:val="auto"/>
          <w:sz w:val="32"/>
          <w:lang w:val="en-US"/>
        </w:rPr>
        <w:t>82</w:t>
      </w:r>
    </w:p>
    <w:p>
      <w:pPr>
        <w:spacing w:beforeLines="0" w:afterLines="0" w:line="600" w:lineRule="atLeast"/>
        <w:ind w:firstLine="600"/>
        <w:rPr>
          <w:rFonts w:hint="default" w:ascii="Times New Roman" w:hAnsi="Times New Roman" w:eastAsia="Times New Roman"/>
          <w:color w:val="auto"/>
          <w:sz w:val="32"/>
          <w:lang w:val="en-US"/>
        </w:rPr>
      </w:pPr>
      <w:r>
        <w:rPr>
          <w:rFonts w:hint="eastAsia" w:ascii="宋体" w:hAnsi="宋体"/>
          <w:color w:val="auto"/>
          <w:sz w:val="30"/>
          <w:lang w:val="zh-CN"/>
        </w:rPr>
        <w:t>中小学生正处于成长发育的关键阶段。我国各年龄阶段学生肥胖检出率持续上升，小学生、初中生、高中生视力不良检出率分别为</w:t>
      </w:r>
      <w:r>
        <w:rPr>
          <w:rFonts w:hint="default" w:ascii="Times New Roman" w:hAnsi="Times New Roman" w:eastAsia="Times New Roman"/>
          <w:color w:val="auto"/>
          <w:sz w:val="30"/>
          <w:lang w:val="en-US"/>
        </w:rPr>
        <w:t>36.0%</w:t>
      </w:r>
      <w:r>
        <w:rPr>
          <w:rFonts w:hint="eastAsia" w:ascii="宋体" w:hAnsi="宋体"/>
          <w:color w:val="auto"/>
          <w:sz w:val="30"/>
          <w:lang w:val="zh-CN"/>
        </w:rPr>
        <w:t>、</w:t>
      </w:r>
      <w:r>
        <w:rPr>
          <w:rFonts w:hint="default" w:ascii="Times New Roman" w:hAnsi="Times New Roman" w:eastAsia="Times New Roman"/>
          <w:color w:val="auto"/>
          <w:sz w:val="30"/>
          <w:lang w:val="en-US"/>
        </w:rPr>
        <w:t>71.6%</w:t>
      </w:r>
      <w:r>
        <w:rPr>
          <w:rFonts w:hint="eastAsia" w:ascii="宋体" w:hAnsi="宋体"/>
          <w:color w:val="auto"/>
          <w:sz w:val="30"/>
          <w:lang w:val="zh-CN"/>
        </w:rPr>
        <w:t>、</w:t>
      </w:r>
      <w:r>
        <w:rPr>
          <w:rFonts w:hint="default" w:ascii="Times New Roman" w:hAnsi="Times New Roman" w:eastAsia="Times New Roman"/>
          <w:color w:val="auto"/>
          <w:sz w:val="30"/>
          <w:lang w:val="en-US"/>
        </w:rPr>
        <w:t>81.0%</w:t>
      </w:r>
      <w:r>
        <w:rPr>
          <w:rFonts w:hint="eastAsia" w:ascii="宋体" w:hAnsi="宋体"/>
          <w:color w:val="auto"/>
          <w:sz w:val="30"/>
          <w:lang w:val="zh-CN"/>
        </w:rPr>
        <w:t>。本行动给出健康行为与生活方式、疾病预防、心理健康、生长发育与青春期保健等知识与技能，并提出个人、家庭、学校、政府应采取的举措。</w:t>
      </w:r>
    </w:p>
    <w:p>
      <w:pPr>
        <w:tabs>
          <w:tab w:val="right" w:leader="dot" w:pos="8296"/>
        </w:tabs>
        <w:spacing w:beforeLines="0" w:afterLines="0" w:line="600" w:lineRule="atLeast"/>
        <w:rPr>
          <w:rFonts w:hint="default" w:ascii="Times New Roman" w:hAnsi="Times New Roman" w:eastAsia="Times New Roman"/>
          <w:b/>
          <w:color w:val="auto"/>
          <w:sz w:val="32"/>
          <w:lang w:val="en-US"/>
        </w:rPr>
      </w:pPr>
      <w:r>
        <w:rPr>
          <w:rFonts w:hint="eastAsia" w:ascii="宋体" w:hAnsi="宋体"/>
          <w:b/>
          <w:color w:val="auto"/>
          <w:sz w:val="32"/>
          <w:lang w:val="zh-CN"/>
        </w:rPr>
        <w:t>（九）职业健康保护行动</w:t>
      </w:r>
      <w:r>
        <w:rPr>
          <w:rFonts w:hint="default" w:ascii="Times New Roman" w:hAnsi="Times New Roman" w:eastAsia="Times New Roman"/>
          <w:b/>
          <w:color w:val="auto"/>
          <w:sz w:val="32"/>
          <w:lang w:val="en-US"/>
        </w:rPr>
        <w:tab/>
      </w:r>
      <w:r>
        <w:rPr>
          <w:rFonts w:hint="default" w:ascii="Arial" w:hAnsi="Arial" w:eastAsia="Times New Roman"/>
          <w:b/>
          <w:color w:val="auto"/>
          <w:sz w:val="32"/>
          <w:lang w:val="en-US"/>
        </w:rPr>
        <w:t>…</w:t>
      </w:r>
      <w:r>
        <w:rPr>
          <w:rFonts w:hint="default" w:ascii="Times New Roman" w:hAnsi="Times New Roman" w:eastAsia="Times New Roman"/>
          <w:b/>
          <w:color w:val="auto"/>
          <w:sz w:val="32"/>
          <w:lang w:val="en-US"/>
        </w:rPr>
        <w:t>90</w:t>
      </w:r>
    </w:p>
    <w:p>
      <w:pPr>
        <w:spacing w:beforeLines="0" w:afterLines="0" w:line="600" w:lineRule="atLeast"/>
        <w:ind w:firstLine="600"/>
        <w:rPr>
          <w:rFonts w:hint="default" w:ascii="Times New Roman" w:hAnsi="Times New Roman" w:eastAsia="Times New Roman"/>
          <w:color w:val="auto"/>
          <w:sz w:val="32"/>
          <w:lang w:val="en-US"/>
        </w:rPr>
      </w:pPr>
      <w:r>
        <w:rPr>
          <w:rFonts w:hint="eastAsia" w:ascii="宋体" w:hAnsi="宋体"/>
          <w:color w:val="auto"/>
          <w:sz w:val="30"/>
          <w:lang w:val="zh-CN"/>
        </w:rPr>
        <w:t>劳动者依法享有职业健康保护的权利。我国接触职业病危害因素的人群约</w:t>
      </w:r>
      <w:r>
        <w:rPr>
          <w:rFonts w:hint="default" w:ascii="Times New Roman" w:hAnsi="Times New Roman" w:eastAsia="Times New Roman"/>
          <w:color w:val="auto"/>
          <w:sz w:val="30"/>
          <w:lang w:val="en-US"/>
        </w:rPr>
        <w:t>2</w:t>
      </w:r>
      <w:r>
        <w:rPr>
          <w:rFonts w:hint="eastAsia" w:ascii="宋体" w:hAnsi="宋体"/>
          <w:color w:val="auto"/>
          <w:sz w:val="30"/>
          <w:lang w:val="zh-CN"/>
        </w:rPr>
        <w:t>亿，职业病危害因素已成为影响成年人健康的重要因素。本行动主要依据《中华人民共和国职业病防治法》和有关职业病预防控制指南，分别提出劳动者个人、用人单位、政府应采取的举措。</w:t>
      </w:r>
    </w:p>
    <w:p>
      <w:pPr>
        <w:tabs>
          <w:tab w:val="right" w:leader="dot" w:pos="8296"/>
        </w:tabs>
        <w:spacing w:beforeLines="0" w:afterLines="0" w:line="600" w:lineRule="atLeast"/>
        <w:rPr>
          <w:rFonts w:hint="default" w:ascii="Times New Roman" w:hAnsi="Times New Roman" w:eastAsia="Times New Roman"/>
          <w:b/>
          <w:color w:val="auto"/>
          <w:sz w:val="32"/>
          <w:lang w:val="en-US"/>
        </w:rPr>
      </w:pPr>
      <w:r>
        <w:rPr>
          <w:rFonts w:hint="eastAsia" w:ascii="宋体" w:hAnsi="宋体"/>
          <w:b/>
          <w:color w:val="auto"/>
          <w:sz w:val="32"/>
          <w:lang w:val="zh-CN"/>
        </w:rPr>
        <w:t>（十）老年健康促进行动…</w:t>
      </w:r>
      <w:r>
        <w:rPr>
          <w:rFonts w:hint="default" w:ascii="Times New Roman" w:hAnsi="Times New Roman" w:eastAsia="Times New Roman"/>
          <w:b/>
          <w:color w:val="auto"/>
          <w:sz w:val="32"/>
          <w:lang w:val="en-US"/>
        </w:rPr>
        <w:tab/>
      </w:r>
      <w:r>
        <w:rPr>
          <w:rFonts w:hint="default" w:ascii="Times New Roman" w:hAnsi="Times New Roman" w:eastAsia="Times New Roman"/>
          <w:b/>
          <w:color w:val="auto"/>
          <w:sz w:val="32"/>
          <w:lang w:val="en-US"/>
        </w:rPr>
        <w:t>98</w:t>
      </w:r>
    </w:p>
    <w:p>
      <w:pPr>
        <w:spacing w:beforeLines="0" w:afterLines="0" w:line="600" w:lineRule="atLeast"/>
        <w:ind w:firstLine="600"/>
        <w:rPr>
          <w:rFonts w:hint="default" w:ascii="Times New Roman" w:hAnsi="Times New Roman" w:eastAsia="Times New Roman"/>
          <w:color w:val="auto"/>
          <w:sz w:val="30"/>
          <w:lang w:val="en-US"/>
        </w:rPr>
      </w:pPr>
      <w:r>
        <w:rPr>
          <w:rFonts w:hint="eastAsia" w:ascii="宋体" w:hAnsi="宋体"/>
          <w:color w:val="auto"/>
          <w:sz w:val="30"/>
          <w:lang w:val="zh-CN"/>
        </w:rPr>
        <w:t>我国是世界上老年人口最多的国家。</w:t>
      </w:r>
      <w:r>
        <w:rPr>
          <w:rFonts w:hint="default" w:ascii="Times New Roman" w:hAnsi="Times New Roman" w:eastAsia="Times New Roman"/>
          <w:color w:val="auto"/>
          <w:sz w:val="30"/>
          <w:lang w:val="en-US"/>
        </w:rPr>
        <w:t>60</w:t>
      </w:r>
      <w:r>
        <w:rPr>
          <w:rFonts w:hint="eastAsia" w:ascii="宋体" w:hAnsi="宋体"/>
          <w:color w:val="auto"/>
          <w:sz w:val="30"/>
          <w:lang w:val="zh-CN"/>
        </w:rPr>
        <w:t>岁及以上老年人口达</w:t>
      </w:r>
      <w:r>
        <w:rPr>
          <w:rFonts w:hint="default" w:ascii="Times New Roman" w:hAnsi="Times New Roman" w:eastAsia="Times New Roman"/>
          <w:color w:val="auto"/>
          <w:sz w:val="30"/>
          <w:lang w:val="en-US"/>
        </w:rPr>
        <w:t>2.49</w:t>
      </w:r>
      <w:r>
        <w:rPr>
          <w:rFonts w:hint="eastAsia" w:ascii="宋体" w:hAnsi="宋体"/>
          <w:color w:val="auto"/>
          <w:sz w:val="30"/>
          <w:lang w:val="zh-CN"/>
        </w:rPr>
        <w:t>亿，占总人口的</w:t>
      </w:r>
      <w:r>
        <w:rPr>
          <w:rFonts w:hint="default" w:ascii="Times New Roman" w:hAnsi="Times New Roman" w:eastAsia="Times New Roman"/>
          <w:color w:val="auto"/>
          <w:sz w:val="30"/>
          <w:lang w:val="en-US"/>
        </w:rPr>
        <w:t>17.9%</w:t>
      </w:r>
      <w:r>
        <w:rPr>
          <w:rFonts w:hint="eastAsia" w:ascii="宋体" w:hAnsi="宋体"/>
          <w:color w:val="auto"/>
          <w:sz w:val="30"/>
          <w:lang w:val="zh-CN"/>
        </w:rPr>
        <w:t>。近</w:t>
      </w:r>
      <w:r>
        <w:rPr>
          <w:rFonts w:hint="default" w:ascii="Times New Roman" w:hAnsi="Times New Roman" w:eastAsia="Times New Roman"/>
          <w:color w:val="auto"/>
          <w:sz w:val="30"/>
          <w:lang w:val="en-US"/>
        </w:rPr>
        <w:t>1.8</w:t>
      </w:r>
      <w:r>
        <w:rPr>
          <w:rFonts w:hint="eastAsia" w:ascii="宋体" w:hAnsi="宋体"/>
          <w:color w:val="auto"/>
          <w:sz w:val="30"/>
          <w:lang w:val="zh-CN"/>
        </w:rPr>
        <w:t>亿老年人患有慢性病。本行动针对老年人膳食营养、体育锻炼、定期体检、慢病管理、精神健康以及用药安全等方面，给出个人和家庭行动建议，并分别提出促进老有所医、老有所养、老有所为的社会和政府主要举措。</w:t>
      </w:r>
    </w:p>
    <w:p>
      <w:pPr>
        <w:tabs>
          <w:tab w:val="right" w:leader="dot" w:pos="8296"/>
        </w:tabs>
        <w:spacing w:beforeLines="0" w:afterLines="0" w:line="640" w:lineRule="atLeast"/>
        <w:rPr>
          <w:rFonts w:hint="default" w:ascii="Times New Roman" w:hAnsi="Times New Roman" w:eastAsia="Times New Roman"/>
          <w:b/>
          <w:color w:val="auto"/>
          <w:sz w:val="32"/>
          <w:lang w:val="en-US"/>
        </w:rPr>
      </w:pPr>
      <w:r>
        <w:rPr>
          <w:rFonts w:hint="eastAsia" w:ascii="宋体" w:hAnsi="宋体"/>
          <w:b/>
          <w:color w:val="auto"/>
          <w:sz w:val="32"/>
          <w:lang w:val="zh-CN"/>
        </w:rPr>
        <w:t>（十一）心脑血管疾病防治行动…</w:t>
      </w:r>
      <w:r>
        <w:rPr>
          <w:rFonts w:hint="default" w:ascii="Times New Roman" w:hAnsi="Times New Roman" w:eastAsia="Times New Roman"/>
          <w:b/>
          <w:color w:val="auto"/>
          <w:sz w:val="32"/>
          <w:lang w:val="en-US"/>
        </w:rPr>
        <w:tab/>
      </w:r>
      <w:r>
        <w:rPr>
          <w:rFonts w:hint="default" w:ascii="Times New Roman" w:hAnsi="Times New Roman" w:eastAsia="Times New Roman"/>
          <w:b/>
          <w:color w:val="auto"/>
          <w:sz w:val="32"/>
          <w:lang w:val="en-US"/>
        </w:rPr>
        <w:t>104</w:t>
      </w:r>
    </w:p>
    <w:p>
      <w:pPr>
        <w:spacing w:beforeLines="0" w:afterLines="0" w:line="600" w:lineRule="atLeast"/>
        <w:ind w:firstLine="600"/>
        <w:rPr>
          <w:rFonts w:hint="default" w:ascii="Times New Roman" w:hAnsi="Times New Roman" w:eastAsia="Times New Roman"/>
          <w:color w:val="auto"/>
          <w:sz w:val="32"/>
          <w:lang w:val="en-US"/>
        </w:rPr>
      </w:pPr>
      <w:r>
        <w:rPr>
          <w:rFonts w:hint="eastAsia" w:ascii="宋体" w:hAnsi="宋体"/>
          <w:color w:val="auto"/>
          <w:sz w:val="30"/>
          <w:lang w:val="zh-CN"/>
        </w:rPr>
        <w:t>心脑血管疾病是我国居民第一位死亡原因。全国现有高血压患者</w:t>
      </w:r>
      <w:r>
        <w:rPr>
          <w:rFonts w:hint="default" w:ascii="Times New Roman" w:hAnsi="Times New Roman" w:eastAsia="Times New Roman"/>
          <w:color w:val="auto"/>
          <w:sz w:val="30"/>
          <w:lang w:val="en-US"/>
        </w:rPr>
        <w:t>2.7</w:t>
      </w:r>
      <w:r>
        <w:rPr>
          <w:rFonts w:hint="eastAsia" w:ascii="宋体" w:hAnsi="宋体"/>
          <w:color w:val="auto"/>
          <w:sz w:val="30"/>
          <w:lang w:val="zh-CN"/>
        </w:rPr>
        <w:t>亿、脑卒中患者</w:t>
      </w:r>
      <w:r>
        <w:rPr>
          <w:rFonts w:hint="default" w:ascii="Times New Roman" w:hAnsi="Times New Roman" w:eastAsia="Times New Roman"/>
          <w:color w:val="auto"/>
          <w:sz w:val="30"/>
          <w:lang w:val="en-US"/>
        </w:rPr>
        <w:t>1300</w:t>
      </w:r>
      <w:r>
        <w:rPr>
          <w:rFonts w:hint="eastAsia" w:ascii="宋体" w:hAnsi="宋体"/>
          <w:color w:val="auto"/>
          <w:sz w:val="30"/>
          <w:lang w:val="zh-CN"/>
        </w:rPr>
        <w:t>万、冠心病患者</w:t>
      </w:r>
      <w:r>
        <w:rPr>
          <w:rFonts w:hint="default" w:ascii="Times New Roman" w:hAnsi="Times New Roman" w:eastAsia="Times New Roman"/>
          <w:color w:val="auto"/>
          <w:sz w:val="30"/>
          <w:lang w:val="en-US"/>
        </w:rPr>
        <w:t>1100</w:t>
      </w:r>
      <w:r>
        <w:rPr>
          <w:rFonts w:hint="eastAsia" w:ascii="宋体" w:hAnsi="宋体"/>
          <w:color w:val="auto"/>
          <w:sz w:val="30"/>
          <w:lang w:val="zh-CN"/>
        </w:rPr>
        <w:t>万。高血压、血脂异常、糖尿病以及肥胖、吸烟、缺乏体力活动、不健康饮食习惯等是心脑血管疾病主要的且可以改变的危险因素。本行动主要针对一般成年人、心脑血管疾病高危人群和患者，给出血压监测、血脂检测、自我健康管理、膳食、运动的建议，提出急性心肌梗死、脑卒中发病的自救措施，并提出社会和政府应采取的主要举措。</w:t>
      </w:r>
    </w:p>
    <w:p>
      <w:pPr>
        <w:tabs>
          <w:tab w:val="right" w:leader="dot" w:pos="8296"/>
        </w:tabs>
        <w:spacing w:beforeLines="0" w:afterLines="0" w:line="640" w:lineRule="atLeast"/>
        <w:rPr>
          <w:rFonts w:hint="default" w:ascii="Times New Roman" w:hAnsi="Times New Roman" w:eastAsia="Times New Roman"/>
          <w:b/>
          <w:color w:val="auto"/>
          <w:sz w:val="32"/>
          <w:lang w:val="en-US"/>
        </w:rPr>
      </w:pPr>
      <w:r>
        <w:rPr>
          <w:rFonts w:hint="eastAsia" w:ascii="宋体" w:hAnsi="宋体"/>
          <w:b/>
          <w:color w:val="auto"/>
          <w:sz w:val="32"/>
          <w:lang w:val="zh-CN"/>
        </w:rPr>
        <w:t>（十二）癌症防治行动</w:t>
      </w:r>
      <w:r>
        <w:rPr>
          <w:rFonts w:hint="default" w:ascii="Times New Roman" w:hAnsi="Times New Roman" w:eastAsia="Times New Roman"/>
          <w:b/>
          <w:color w:val="auto"/>
          <w:sz w:val="32"/>
          <w:lang w:val="en-US"/>
        </w:rPr>
        <w:tab/>
      </w:r>
      <w:r>
        <w:rPr>
          <w:rFonts w:hint="default" w:ascii="Times New Roman" w:hAnsi="Times New Roman" w:eastAsia="Times New Roman"/>
          <w:b/>
          <w:color w:val="auto"/>
          <w:sz w:val="32"/>
          <w:lang w:val="en-US"/>
        </w:rPr>
        <w:t>109</w:t>
      </w:r>
    </w:p>
    <w:p>
      <w:pPr>
        <w:spacing w:beforeLines="0" w:afterLines="0" w:line="600" w:lineRule="atLeast"/>
        <w:ind w:firstLine="600"/>
        <w:rPr>
          <w:rFonts w:hint="default" w:ascii="Times New Roman" w:hAnsi="Times New Roman" w:eastAsia="Times New Roman"/>
          <w:color w:val="auto"/>
          <w:sz w:val="32"/>
          <w:lang w:val="en-US"/>
        </w:rPr>
      </w:pPr>
      <w:r>
        <w:rPr>
          <w:rFonts w:hint="eastAsia" w:ascii="宋体" w:hAnsi="宋体"/>
          <w:color w:val="auto"/>
          <w:sz w:val="30"/>
          <w:lang w:val="zh-CN"/>
        </w:rPr>
        <w:t>癌症严重影响人民健康。目前，我国每年新发癌症病例约</w:t>
      </w:r>
      <w:r>
        <w:rPr>
          <w:rFonts w:hint="default" w:ascii="Times New Roman" w:hAnsi="Times New Roman" w:eastAsia="Times New Roman"/>
          <w:color w:val="auto"/>
          <w:sz w:val="30"/>
          <w:lang w:val="en-US"/>
        </w:rPr>
        <w:t>380</w:t>
      </w:r>
      <w:r>
        <w:rPr>
          <w:rFonts w:hint="eastAsia" w:ascii="宋体" w:hAnsi="宋体"/>
          <w:color w:val="auto"/>
          <w:sz w:val="30"/>
          <w:lang w:val="zh-CN"/>
        </w:rPr>
        <w:t>万，死亡约</w:t>
      </w:r>
      <w:r>
        <w:rPr>
          <w:rFonts w:hint="default" w:ascii="Times New Roman" w:hAnsi="Times New Roman" w:eastAsia="Times New Roman"/>
          <w:color w:val="auto"/>
          <w:sz w:val="30"/>
          <w:lang w:val="en-US"/>
        </w:rPr>
        <w:t>229</w:t>
      </w:r>
      <w:r>
        <w:rPr>
          <w:rFonts w:hint="eastAsia" w:ascii="宋体" w:hAnsi="宋体"/>
          <w:color w:val="auto"/>
          <w:sz w:val="30"/>
          <w:lang w:val="zh-CN"/>
        </w:rPr>
        <w:t>万，发病率及死亡率呈逐年上升趋势，已成为城市死因的第一位、农村死因的第二位。本行动主要针对癌症预防、早期筛查及早诊早治、规范化治疗、康复和膳食指导等方面，给出有关建议，并提出社会和政府应采取的主要举措。</w:t>
      </w:r>
    </w:p>
    <w:p>
      <w:pPr>
        <w:tabs>
          <w:tab w:val="right" w:leader="dot" w:pos="8296"/>
        </w:tabs>
        <w:spacing w:beforeLines="0" w:afterLines="0" w:line="640" w:lineRule="atLeast"/>
        <w:rPr>
          <w:rFonts w:hint="default" w:ascii="Times New Roman" w:hAnsi="Times New Roman" w:eastAsia="Times New Roman"/>
          <w:b/>
          <w:color w:val="auto"/>
          <w:sz w:val="32"/>
          <w:lang w:val="en-US"/>
        </w:rPr>
      </w:pPr>
      <w:r>
        <w:rPr>
          <w:rFonts w:hint="eastAsia" w:ascii="宋体" w:hAnsi="宋体"/>
          <w:b/>
          <w:color w:val="auto"/>
          <w:sz w:val="32"/>
          <w:lang w:val="zh-CN"/>
        </w:rPr>
        <w:t>（十三）慢性呼吸系统疾病防治行动</w:t>
      </w:r>
      <w:r>
        <w:rPr>
          <w:rFonts w:hint="default" w:ascii="Times New Roman" w:hAnsi="Times New Roman" w:eastAsia="Times New Roman"/>
          <w:b/>
          <w:color w:val="auto"/>
          <w:sz w:val="32"/>
          <w:lang w:val="en-US"/>
        </w:rPr>
        <w:tab/>
      </w:r>
      <w:r>
        <w:rPr>
          <w:rFonts w:hint="default" w:ascii="Times New Roman" w:hAnsi="Times New Roman" w:eastAsia="Times New Roman"/>
          <w:b/>
          <w:color w:val="auto"/>
          <w:sz w:val="32"/>
          <w:lang w:val="en-US"/>
        </w:rPr>
        <w:t>114</w:t>
      </w:r>
    </w:p>
    <w:p>
      <w:pPr>
        <w:spacing w:beforeLines="0" w:afterLines="0" w:line="600" w:lineRule="atLeast"/>
        <w:ind w:firstLine="600"/>
        <w:rPr>
          <w:rFonts w:hint="default" w:ascii="Times New Roman" w:hAnsi="Times New Roman" w:eastAsia="Times New Roman"/>
          <w:color w:val="auto"/>
          <w:sz w:val="32"/>
          <w:lang w:val="en-US"/>
        </w:rPr>
      </w:pPr>
      <w:r>
        <w:rPr>
          <w:rFonts w:hint="eastAsia" w:ascii="宋体" w:hAnsi="宋体"/>
          <w:color w:val="auto"/>
          <w:sz w:val="30"/>
          <w:lang w:val="zh-CN"/>
        </w:rPr>
        <w:t>慢性呼吸系统疾病以哮喘、慢性阻塞性肺疾病等为代表，患病率高，严重影响健康水平。我国</w:t>
      </w:r>
      <w:r>
        <w:rPr>
          <w:rFonts w:hint="default" w:ascii="Times New Roman" w:hAnsi="Times New Roman" w:eastAsia="Times New Roman"/>
          <w:color w:val="auto"/>
          <w:sz w:val="30"/>
          <w:lang w:val="en-US"/>
        </w:rPr>
        <w:t>40</w:t>
      </w:r>
      <w:r>
        <w:rPr>
          <w:rFonts w:hint="eastAsia" w:ascii="宋体" w:hAnsi="宋体"/>
          <w:color w:val="auto"/>
          <w:sz w:val="30"/>
          <w:lang w:val="zh-CN"/>
        </w:rPr>
        <w:t>岁及以上人群慢性阻塞性肺疾病患病率为</w:t>
      </w:r>
      <w:r>
        <w:rPr>
          <w:rFonts w:hint="default" w:ascii="Times New Roman" w:hAnsi="Times New Roman" w:eastAsia="Times New Roman"/>
          <w:color w:val="auto"/>
          <w:sz w:val="30"/>
          <w:lang w:val="en-US"/>
        </w:rPr>
        <w:t>13.6%</w:t>
      </w:r>
      <w:r>
        <w:rPr>
          <w:rFonts w:hint="eastAsia" w:ascii="宋体" w:hAnsi="宋体"/>
          <w:color w:val="auto"/>
          <w:sz w:val="30"/>
          <w:lang w:val="zh-CN"/>
        </w:rPr>
        <w:t>，总患病人数近</w:t>
      </w:r>
      <w:r>
        <w:rPr>
          <w:rFonts w:hint="default" w:ascii="Times New Roman" w:hAnsi="Times New Roman" w:eastAsia="Times New Roman"/>
          <w:color w:val="auto"/>
          <w:sz w:val="30"/>
          <w:lang w:val="en-US"/>
        </w:rPr>
        <w:t>1</w:t>
      </w:r>
      <w:r>
        <w:rPr>
          <w:rFonts w:hint="eastAsia" w:ascii="宋体" w:hAnsi="宋体"/>
          <w:color w:val="auto"/>
          <w:sz w:val="30"/>
          <w:lang w:val="zh-CN"/>
        </w:rPr>
        <w:t>亿。本行动主要针对慢阻肺、哮喘的主要预防措施和膳食、运动等方面，给出指导建议，并提出社会和政府应采取的主要举措。</w:t>
      </w:r>
    </w:p>
    <w:p>
      <w:pPr>
        <w:tabs>
          <w:tab w:val="right" w:leader="dot" w:pos="8296"/>
        </w:tabs>
        <w:spacing w:beforeLines="0" w:afterLines="0" w:line="640" w:lineRule="atLeast"/>
        <w:rPr>
          <w:rFonts w:hint="default" w:ascii="Times New Roman" w:hAnsi="Times New Roman" w:eastAsia="Times New Roman"/>
          <w:b/>
          <w:color w:val="auto"/>
          <w:sz w:val="32"/>
          <w:lang w:val="en-US"/>
        </w:rPr>
      </w:pPr>
      <w:r>
        <w:rPr>
          <w:rFonts w:hint="eastAsia" w:ascii="宋体" w:hAnsi="宋体"/>
          <w:b/>
          <w:color w:val="auto"/>
          <w:sz w:val="32"/>
          <w:lang w:val="zh-CN"/>
        </w:rPr>
        <w:t>（十四）糖尿病防治行动</w:t>
      </w:r>
      <w:r>
        <w:rPr>
          <w:rFonts w:hint="default" w:ascii="Times New Roman" w:hAnsi="Times New Roman" w:eastAsia="Times New Roman"/>
          <w:b/>
          <w:color w:val="auto"/>
          <w:sz w:val="32"/>
          <w:lang w:val="en-US"/>
        </w:rPr>
        <w:tab/>
      </w:r>
      <w:r>
        <w:rPr>
          <w:rFonts w:hint="default" w:ascii="Arial" w:hAnsi="Arial" w:eastAsia="Times New Roman"/>
          <w:b/>
          <w:color w:val="auto"/>
          <w:sz w:val="32"/>
          <w:lang w:val="en-US"/>
        </w:rPr>
        <w:t>…</w:t>
      </w:r>
      <w:r>
        <w:rPr>
          <w:rFonts w:hint="default" w:ascii="Times New Roman" w:hAnsi="Times New Roman" w:eastAsia="Times New Roman"/>
          <w:b/>
          <w:color w:val="auto"/>
          <w:sz w:val="32"/>
          <w:lang w:val="en-US"/>
        </w:rPr>
        <w:t>116</w:t>
      </w:r>
    </w:p>
    <w:p>
      <w:pPr>
        <w:spacing w:beforeLines="0" w:afterLines="0" w:line="600" w:lineRule="atLeast"/>
        <w:ind w:firstLine="600"/>
        <w:rPr>
          <w:rFonts w:hint="default" w:ascii="Times New Roman" w:hAnsi="Times New Roman" w:eastAsia="Times New Roman"/>
          <w:color w:val="auto"/>
          <w:sz w:val="32"/>
          <w:lang w:val="en-US"/>
        </w:rPr>
      </w:pPr>
      <w:r>
        <w:rPr>
          <w:rFonts w:hint="eastAsia" w:ascii="宋体" w:hAnsi="宋体"/>
          <w:color w:val="auto"/>
          <w:sz w:val="30"/>
          <w:lang w:val="zh-CN"/>
        </w:rPr>
        <w:t>我国是全球糖尿病患病率增长最快的国家之一，目前糖尿病患者超过</w:t>
      </w:r>
      <w:r>
        <w:rPr>
          <w:rFonts w:hint="default" w:ascii="Times New Roman" w:hAnsi="Times New Roman" w:eastAsia="Times New Roman"/>
          <w:color w:val="auto"/>
          <w:sz w:val="30"/>
          <w:lang w:val="en-US"/>
        </w:rPr>
        <w:t>9700</w:t>
      </w:r>
      <w:r>
        <w:rPr>
          <w:rFonts w:hint="eastAsia" w:ascii="宋体" w:hAnsi="宋体"/>
          <w:color w:val="auto"/>
          <w:sz w:val="30"/>
          <w:lang w:val="zh-CN"/>
        </w:rPr>
        <w:t>万，糖尿病前期人群约</w:t>
      </w:r>
      <w:r>
        <w:rPr>
          <w:rFonts w:hint="default" w:ascii="Times New Roman" w:hAnsi="Times New Roman" w:eastAsia="Times New Roman"/>
          <w:color w:val="auto"/>
          <w:sz w:val="30"/>
          <w:lang w:val="en-US"/>
        </w:rPr>
        <w:t>1.5</w:t>
      </w:r>
      <w:r>
        <w:rPr>
          <w:rFonts w:hint="eastAsia" w:ascii="宋体" w:hAnsi="宋体"/>
          <w:color w:val="auto"/>
          <w:sz w:val="30"/>
          <w:lang w:val="zh-CN"/>
        </w:rPr>
        <w:t>亿。本行动主要针对糖尿病前期人群和糖尿病患者，给出识别标准、膳食和运动等生活方式指导建议以及防治措施，并提出社会和政府应采取的主要举措。</w:t>
      </w:r>
    </w:p>
    <w:p>
      <w:pPr>
        <w:tabs>
          <w:tab w:val="right" w:leader="dot" w:pos="8296"/>
        </w:tabs>
        <w:spacing w:beforeLines="0" w:afterLines="0" w:line="640" w:lineRule="atLeast"/>
        <w:rPr>
          <w:rFonts w:hint="default" w:ascii="Times New Roman" w:hAnsi="Times New Roman" w:eastAsia="Times New Roman"/>
          <w:b/>
          <w:color w:val="auto"/>
          <w:sz w:val="32"/>
          <w:lang w:val="en-US"/>
        </w:rPr>
      </w:pPr>
      <w:r>
        <w:rPr>
          <w:rFonts w:hint="eastAsia" w:ascii="宋体" w:hAnsi="宋体"/>
          <w:b/>
          <w:color w:val="auto"/>
          <w:sz w:val="32"/>
          <w:lang w:val="zh-CN"/>
        </w:rPr>
        <w:t>（十五）传染病及地方病防控行动…</w:t>
      </w:r>
      <w:r>
        <w:rPr>
          <w:rFonts w:hint="default" w:ascii="Times New Roman" w:hAnsi="Times New Roman" w:eastAsia="Times New Roman"/>
          <w:b/>
          <w:color w:val="auto"/>
          <w:sz w:val="32"/>
          <w:lang w:val="en-US"/>
        </w:rPr>
        <w:tab/>
      </w:r>
      <w:r>
        <w:rPr>
          <w:rFonts w:hint="default" w:ascii="Times New Roman" w:hAnsi="Times New Roman" w:eastAsia="Times New Roman"/>
          <w:b/>
          <w:color w:val="auto"/>
          <w:sz w:val="32"/>
          <w:lang w:val="en-US"/>
        </w:rPr>
        <w:t>120</w:t>
      </w:r>
    </w:p>
    <w:p>
      <w:pPr>
        <w:spacing w:beforeLines="0" w:afterLines="0" w:line="600" w:lineRule="atLeast"/>
        <w:ind w:firstLine="600"/>
        <w:rPr>
          <w:rFonts w:hint="default" w:ascii="Times New Roman" w:hAnsi="Times New Roman" w:eastAsia="Times New Roman"/>
          <w:color w:val="auto"/>
          <w:sz w:val="32"/>
          <w:lang w:val="en-US"/>
        </w:rPr>
      </w:pPr>
      <w:r>
        <w:rPr>
          <w:rFonts w:hint="eastAsia" w:ascii="宋体" w:hAnsi="宋体"/>
          <w:color w:val="auto"/>
          <w:sz w:val="30"/>
          <w:lang w:val="zh-CN"/>
        </w:rPr>
        <w:t>传染病、地方病严重威胁人民健康。我国现有约</w:t>
      </w:r>
      <w:r>
        <w:rPr>
          <w:rFonts w:hint="default" w:ascii="Times New Roman" w:hAnsi="Times New Roman" w:eastAsia="Times New Roman"/>
          <w:color w:val="auto"/>
          <w:sz w:val="30"/>
          <w:lang w:val="en-US"/>
        </w:rPr>
        <w:t>2800</w:t>
      </w:r>
      <w:r>
        <w:rPr>
          <w:rFonts w:hint="eastAsia" w:ascii="宋体" w:hAnsi="宋体"/>
          <w:color w:val="auto"/>
          <w:sz w:val="30"/>
          <w:lang w:val="zh-CN"/>
        </w:rPr>
        <w:t>万慢性乙肝患者，每年约</w:t>
      </w:r>
      <w:r>
        <w:rPr>
          <w:rFonts w:hint="default" w:ascii="Times New Roman" w:hAnsi="Times New Roman" w:eastAsia="Times New Roman"/>
          <w:color w:val="auto"/>
          <w:sz w:val="30"/>
          <w:lang w:val="en-US"/>
        </w:rPr>
        <w:t>90</w:t>
      </w:r>
      <w:r>
        <w:rPr>
          <w:rFonts w:hint="eastAsia" w:ascii="宋体" w:hAnsi="宋体"/>
          <w:color w:val="auto"/>
          <w:sz w:val="30"/>
          <w:lang w:val="zh-CN"/>
        </w:rPr>
        <w:t>万例新发结核病患者，且地方病、部分寄生虫病防治形势依然严峻。本行动针对艾滋病、病毒性肝炎、结核病、流感、寄生虫病、地方病，分别提出了个人、社会和政府应采取的主要举措。</w:t>
      </w:r>
    </w:p>
    <w:p>
      <w:pPr>
        <w:tabs>
          <w:tab w:val="right" w:leader="dot" w:pos="8296"/>
        </w:tabs>
        <w:spacing w:beforeLines="0" w:afterLines="0" w:line="640" w:lineRule="atLeast"/>
        <w:rPr>
          <w:rFonts w:hint="default" w:ascii="Times New Roman" w:hAnsi="Times New Roman" w:eastAsia="Times New Roman"/>
          <w:color w:val="auto"/>
          <w:sz w:val="32"/>
          <w:lang w:val="en-US"/>
        </w:rPr>
      </w:pPr>
      <w:r>
        <w:rPr>
          <w:rFonts w:hint="eastAsia" w:ascii="宋体" w:hAnsi="宋体"/>
          <w:b/>
          <w:color w:val="auto"/>
          <w:sz w:val="32"/>
          <w:lang w:val="zh-CN"/>
        </w:rPr>
        <w:t>四、保障措施…</w:t>
      </w:r>
      <w:r>
        <w:rPr>
          <w:rFonts w:hint="default" w:ascii="Times New Roman" w:hAnsi="Times New Roman" w:eastAsia="Times New Roman"/>
          <w:b/>
          <w:color w:val="auto"/>
          <w:sz w:val="32"/>
          <w:lang w:val="en-US"/>
        </w:rPr>
        <w:tab/>
      </w:r>
      <w:r>
        <w:rPr>
          <w:rFonts w:hint="default" w:ascii="Times New Roman" w:hAnsi="Times New Roman" w:eastAsia="Times New Roman"/>
          <w:b/>
          <w:color w:val="auto"/>
          <w:sz w:val="32"/>
          <w:lang w:val="en-US"/>
        </w:rPr>
        <w:t>126</w:t>
      </w:r>
    </w:p>
    <w:p>
      <w:pPr>
        <w:tabs>
          <w:tab w:val="right" w:leader="dot" w:pos="8296"/>
        </w:tabs>
        <w:spacing w:beforeLines="0" w:afterLines="0" w:line="640" w:lineRule="atLeast"/>
        <w:rPr>
          <w:rFonts w:hint="default" w:ascii="Times New Roman" w:hAnsi="Times New Roman" w:eastAsia="Times New Roman"/>
          <w:color w:val="auto"/>
          <w:sz w:val="32"/>
          <w:lang w:val="en-US"/>
        </w:rPr>
      </w:pPr>
      <w:r>
        <w:rPr>
          <w:rFonts w:hint="eastAsia" w:ascii="宋体" w:hAnsi="宋体"/>
          <w:b/>
          <w:color w:val="auto"/>
          <w:sz w:val="32"/>
          <w:lang w:val="zh-CN"/>
        </w:rPr>
        <w:t>（一）加强组织领导</w:t>
      </w:r>
      <w:r>
        <w:rPr>
          <w:rFonts w:hint="default" w:ascii="Times New Roman" w:hAnsi="Times New Roman" w:eastAsia="Times New Roman"/>
          <w:b/>
          <w:color w:val="auto"/>
          <w:sz w:val="32"/>
          <w:lang w:val="en-US"/>
        </w:rPr>
        <w:tab/>
      </w:r>
      <w:r>
        <w:rPr>
          <w:rFonts w:hint="default" w:ascii="Times New Roman" w:hAnsi="Times New Roman" w:eastAsia="Times New Roman"/>
          <w:b/>
          <w:color w:val="auto"/>
          <w:sz w:val="32"/>
          <w:lang w:val="en-US"/>
        </w:rPr>
        <w:t>126</w:t>
      </w:r>
    </w:p>
    <w:p>
      <w:pPr>
        <w:tabs>
          <w:tab w:val="right" w:leader="dot" w:pos="8296"/>
        </w:tabs>
        <w:spacing w:beforeLines="0" w:afterLines="0" w:line="640" w:lineRule="atLeast"/>
        <w:rPr>
          <w:rFonts w:hint="default" w:ascii="Times New Roman" w:hAnsi="Times New Roman" w:eastAsia="Times New Roman"/>
          <w:color w:val="auto"/>
          <w:sz w:val="32"/>
          <w:lang w:val="en-US"/>
        </w:rPr>
      </w:pPr>
      <w:r>
        <w:rPr>
          <w:rFonts w:hint="eastAsia" w:ascii="宋体" w:hAnsi="宋体"/>
          <w:b/>
          <w:color w:val="auto"/>
          <w:sz w:val="32"/>
          <w:lang w:val="zh-CN"/>
        </w:rPr>
        <w:t>（二）开展监测评估</w:t>
      </w:r>
      <w:r>
        <w:rPr>
          <w:rFonts w:hint="default" w:ascii="Times New Roman" w:hAnsi="Times New Roman" w:eastAsia="Times New Roman"/>
          <w:b/>
          <w:color w:val="auto"/>
          <w:sz w:val="32"/>
          <w:lang w:val="en-US"/>
        </w:rPr>
        <w:tab/>
      </w:r>
      <w:r>
        <w:rPr>
          <w:rFonts w:hint="default" w:ascii="Times New Roman" w:hAnsi="Times New Roman" w:eastAsia="Times New Roman"/>
          <w:b/>
          <w:color w:val="auto"/>
          <w:sz w:val="32"/>
          <w:lang w:val="en-US"/>
        </w:rPr>
        <w:t>127</w:t>
      </w:r>
    </w:p>
    <w:p>
      <w:pPr>
        <w:tabs>
          <w:tab w:val="right" w:leader="dot" w:pos="8296"/>
        </w:tabs>
        <w:spacing w:beforeLines="0" w:afterLines="0" w:line="640" w:lineRule="atLeast"/>
        <w:rPr>
          <w:rFonts w:hint="default" w:ascii="Times New Roman" w:hAnsi="Times New Roman" w:eastAsia="Times New Roman"/>
          <w:color w:val="auto"/>
          <w:sz w:val="32"/>
          <w:lang w:val="en-US"/>
        </w:rPr>
      </w:pPr>
      <w:r>
        <w:rPr>
          <w:rFonts w:hint="eastAsia" w:ascii="宋体" w:hAnsi="宋体"/>
          <w:b/>
          <w:color w:val="auto"/>
          <w:sz w:val="32"/>
          <w:lang w:val="zh-CN"/>
        </w:rPr>
        <w:t>（三）建立绩效考核评价机制</w:t>
      </w:r>
      <w:r>
        <w:rPr>
          <w:rFonts w:hint="default" w:ascii="Times New Roman" w:hAnsi="Times New Roman" w:eastAsia="Times New Roman"/>
          <w:b/>
          <w:color w:val="auto"/>
          <w:sz w:val="32"/>
          <w:lang w:val="en-US"/>
        </w:rPr>
        <w:tab/>
      </w:r>
      <w:r>
        <w:rPr>
          <w:rFonts w:hint="default" w:ascii="Times New Roman" w:hAnsi="Times New Roman" w:eastAsia="Times New Roman"/>
          <w:b/>
          <w:color w:val="auto"/>
          <w:sz w:val="32"/>
          <w:lang w:val="en-US"/>
        </w:rPr>
        <w:t>128</w:t>
      </w:r>
    </w:p>
    <w:p>
      <w:pPr>
        <w:tabs>
          <w:tab w:val="right" w:leader="dot" w:pos="8296"/>
        </w:tabs>
        <w:spacing w:beforeLines="0" w:afterLines="0" w:line="640" w:lineRule="atLeast"/>
        <w:rPr>
          <w:rFonts w:hint="default" w:ascii="Times New Roman" w:hAnsi="Times New Roman" w:eastAsia="Times New Roman"/>
          <w:color w:val="auto"/>
          <w:sz w:val="32"/>
          <w:lang w:val="en-US"/>
        </w:rPr>
      </w:pPr>
      <w:r>
        <w:rPr>
          <w:rFonts w:hint="eastAsia" w:ascii="宋体" w:hAnsi="宋体"/>
          <w:b/>
          <w:color w:val="auto"/>
          <w:sz w:val="32"/>
          <w:lang w:val="zh-CN"/>
        </w:rPr>
        <w:t>（四）健全支撑体系</w:t>
      </w:r>
      <w:r>
        <w:rPr>
          <w:rFonts w:hint="default" w:ascii="Times New Roman" w:hAnsi="Times New Roman" w:eastAsia="Times New Roman"/>
          <w:b/>
          <w:color w:val="auto"/>
          <w:sz w:val="32"/>
          <w:lang w:val="en-US"/>
        </w:rPr>
        <w:tab/>
      </w:r>
      <w:r>
        <w:rPr>
          <w:rFonts w:hint="default" w:ascii="Times New Roman" w:hAnsi="Times New Roman" w:eastAsia="Times New Roman"/>
          <w:b/>
          <w:color w:val="auto"/>
          <w:sz w:val="32"/>
          <w:lang w:val="en-US"/>
        </w:rPr>
        <w:t>128</w:t>
      </w:r>
    </w:p>
    <w:p>
      <w:pPr>
        <w:tabs>
          <w:tab w:val="right" w:leader="dot" w:pos="8296"/>
        </w:tabs>
        <w:spacing w:beforeLines="0" w:afterLines="0" w:line="640" w:lineRule="atLeast"/>
        <w:rPr>
          <w:rFonts w:hint="default" w:ascii="Times New Roman" w:hAnsi="Times New Roman" w:eastAsia="Times New Roman"/>
          <w:b/>
          <w:color w:val="auto"/>
          <w:sz w:val="32"/>
          <w:lang w:val="en-US"/>
        </w:rPr>
      </w:pPr>
      <w:r>
        <w:rPr>
          <w:rFonts w:hint="eastAsia" w:ascii="宋体" w:hAnsi="宋体"/>
          <w:b/>
          <w:color w:val="auto"/>
          <w:sz w:val="32"/>
          <w:lang w:val="zh-CN"/>
        </w:rPr>
        <w:t>（五）加强宣传引导</w:t>
      </w:r>
      <w:r>
        <w:rPr>
          <w:rFonts w:hint="default" w:ascii="Times New Roman" w:hAnsi="Times New Roman" w:eastAsia="Times New Roman"/>
          <w:b/>
          <w:color w:val="auto"/>
          <w:sz w:val="32"/>
          <w:lang w:val="en-US"/>
        </w:rPr>
        <w:tab/>
      </w:r>
      <w:r>
        <w:rPr>
          <w:rFonts w:hint="default" w:ascii="Times New Roman" w:hAnsi="Times New Roman" w:eastAsia="Times New Roman"/>
          <w:b/>
          <w:color w:val="auto"/>
          <w:sz w:val="32"/>
          <w:lang w:val="en-US"/>
        </w:rPr>
        <w:t>129</w:t>
      </w:r>
    </w:p>
    <w:p>
      <w:pPr>
        <w:spacing w:beforeLines="0" w:afterLines="0" w:line="600" w:lineRule="atLeast"/>
        <w:ind w:firstLine="640"/>
        <w:rPr>
          <w:rFonts w:hint="default" w:ascii="Times New Roman" w:hAnsi="Times New Roman" w:eastAsia="Times New Roman"/>
          <w:color w:val="auto"/>
          <w:sz w:val="32"/>
          <w:lang w:val="en-US"/>
        </w:rPr>
      </w:pPr>
      <w:r>
        <w:rPr>
          <w:rFonts w:hint="eastAsia" w:ascii="宋体" w:hAnsi="宋体"/>
          <w:color w:val="auto"/>
          <w:sz w:val="32"/>
          <w:lang w:val="zh-CN"/>
        </w:rPr>
        <w:t>引言</w:t>
      </w:r>
    </w:p>
    <w:p>
      <w:pPr>
        <w:spacing w:beforeLines="0" w:afterLines="0" w:line="600" w:lineRule="atLeast"/>
        <w:ind w:firstLine="640"/>
        <w:rPr>
          <w:rFonts w:hint="default" w:ascii="Times New Roman" w:hAnsi="Times New Roman" w:eastAsia="Times New Roman"/>
          <w:color w:val="auto"/>
          <w:sz w:val="32"/>
          <w:lang w:val="en-US"/>
        </w:rPr>
      </w:pPr>
      <w:r>
        <w:rPr>
          <w:rFonts w:hint="eastAsia" w:ascii="宋体" w:hAnsi="宋体"/>
          <w:color w:val="auto"/>
          <w:sz w:val="32"/>
          <w:lang w:val="zh-CN"/>
        </w:rPr>
        <w:t>人民健康是民族昌盛和国家富强的重要标志。党的十八大以来，我国卫生健康事业取得新的显著成绩，医疗卫生服务水平大幅提高，居民主要健康指标总体优于中高收入国家平均水平。随着工业化、城镇化、人口老龄化发展及生态环境、生活行为方式变化，慢性非传染性疾病（以下简称慢性病）已成为居民的主要死亡原因和疾病负担。心脑血管疾病、癌症、慢性呼吸系统疾病、糖尿病等慢性病导致的负担占总疾病负担的</w:t>
      </w:r>
      <w:r>
        <w:rPr>
          <w:rFonts w:hint="default" w:ascii="Times New Roman" w:hAnsi="Times New Roman" w:eastAsia="Times New Roman"/>
          <w:color w:val="auto"/>
          <w:sz w:val="32"/>
          <w:lang w:val="en-US"/>
        </w:rPr>
        <w:t>70%</w:t>
      </w:r>
      <w:r>
        <w:rPr>
          <w:rFonts w:hint="eastAsia" w:ascii="宋体" w:hAnsi="宋体"/>
          <w:color w:val="auto"/>
          <w:sz w:val="32"/>
          <w:lang w:val="zh-CN"/>
        </w:rPr>
        <w:t>以上，成为制约健康预期寿命提高的重要因素。同时，肝炎、结核病、艾滋病等重大传染病防控形势仍然严峻，精神卫生、职业健康、地方病等问题不容忽视，重大安全生产事故和交通事故时有发生。党的十九大作出了实施健康中国战略的重大决策部署，充分体现了对维护人民健康的坚定决心。为积极应对当前突出健康问题，必须关口前移，采取有效干预措施，努力使群众不生病、少生病，提高生活质量，延长健康寿命。这是以较低成本取得较高健康绩效的有效策略，是解决当前健康问题的现实途径，是落实健康中国战略的重要举措。为此，特制定《健康中国行动（</w:t>
      </w:r>
      <w:r>
        <w:rPr>
          <w:rFonts w:hint="default" w:ascii="Times New Roman" w:hAnsi="Times New Roman" w:eastAsia="Times New Roman"/>
          <w:color w:val="auto"/>
          <w:sz w:val="32"/>
          <w:lang w:val="en-US"/>
        </w:rPr>
        <w:t>2019</w:t>
      </w:r>
      <w:r>
        <w:rPr>
          <w:rFonts w:hint="default" w:ascii="宋体" w:hAnsi="宋体"/>
          <w:color w:val="auto"/>
          <w:sz w:val="32"/>
          <w:lang w:val="zh-CN"/>
        </w:rPr>
        <w:t>—</w:t>
      </w:r>
      <w:r>
        <w:rPr>
          <w:rFonts w:hint="default" w:ascii="Times New Roman" w:hAnsi="Times New Roman" w:eastAsia="Times New Roman"/>
          <w:color w:val="auto"/>
          <w:sz w:val="32"/>
          <w:lang w:val="en-US"/>
        </w:rPr>
        <w:t>2030</w:t>
      </w:r>
      <w:r>
        <w:rPr>
          <w:rFonts w:hint="eastAsia" w:ascii="宋体" w:hAnsi="宋体"/>
          <w:color w:val="auto"/>
          <w:sz w:val="32"/>
          <w:lang w:val="zh-CN"/>
        </w:rPr>
        <w:t>年）》（以下简称《健康中国行动》）。</w:t>
      </w:r>
    </w:p>
    <w:p>
      <w:pPr>
        <w:spacing w:beforeLines="0" w:afterLines="0" w:line="600" w:lineRule="atLeast"/>
        <w:ind w:firstLine="640"/>
        <w:rPr>
          <w:rFonts w:hint="default" w:ascii="Times New Roman" w:hAnsi="Times New Roman" w:eastAsia="Times New Roman"/>
          <w:color w:val="auto"/>
          <w:sz w:val="32"/>
          <w:lang w:val="en-US"/>
        </w:rPr>
      </w:pPr>
      <w:r>
        <w:rPr>
          <w:rFonts w:hint="eastAsia" w:ascii="宋体" w:hAnsi="宋体"/>
          <w:color w:val="auto"/>
          <w:sz w:val="32"/>
          <w:lang w:val="zh-CN"/>
        </w:rPr>
        <w:t>一、总体要求</w:t>
      </w:r>
    </w:p>
    <w:p>
      <w:pPr>
        <w:spacing w:beforeLines="0" w:afterLines="0" w:line="600" w:lineRule="atLeast"/>
        <w:ind w:firstLine="643"/>
        <w:rPr>
          <w:rFonts w:hint="default" w:ascii="Times New Roman" w:hAnsi="Times New Roman" w:eastAsia="Times New Roman"/>
          <w:b/>
          <w:color w:val="auto"/>
          <w:sz w:val="32"/>
          <w:lang w:val="en-US"/>
        </w:rPr>
      </w:pPr>
      <w:r>
        <w:rPr>
          <w:rFonts w:hint="eastAsia" w:ascii="宋体" w:hAnsi="宋体"/>
          <w:b/>
          <w:color w:val="auto"/>
          <w:sz w:val="32"/>
          <w:lang w:val="zh-CN"/>
        </w:rPr>
        <w:t>（一）指导思想。</w:t>
      </w:r>
    </w:p>
    <w:p>
      <w:pPr>
        <w:spacing w:beforeLines="0" w:afterLines="0" w:line="600" w:lineRule="atLeast"/>
        <w:ind w:firstLine="640"/>
        <w:rPr>
          <w:rFonts w:hint="default" w:ascii="Times New Roman" w:hAnsi="Times New Roman" w:eastAsia="Times New Roman"/>
          <w:color w:val="auto"/>
          <w:sz w:val="32"/>
          <w:lang w:val="en-US"/>
        </w:rPr>
      </w:pPr>
      <w:r>
        <w:rPr>
          <w:rFonts w:hint="eastAsia" w:ascii="宋体" w:hAnsi="宋体"/>
          <w:color w:val="auto"/>
          <w:sz w:val="32"/>
          <w:lang w:val="zh-CN"/>
        </w:rPr>
        <w:t>以习近平新时代中国特色社会主义思想为指导，全面贯彻党的十九大和十九届二中、三中全会精神，认真落实党中央、国务院决策部署，坚持以人民为中心的发展思想，牢固树立</w:t>
      </w:r>
      <w:r>
        <w:rPr>
          <w:rFonts w:hint="default" w:ascii="宋体" w:hAnsi="宋体"/>
          <w:color w:val="auto"/>
          <w:sz w:val="32"/>
          <w:lang w:val="zh-CN"/>
        </w:rPr>
        <w:t>“</w:t>
      </w:r>
      <w:r>
        <w:rPr>
          <w:rFonts w:hint="eastAsia" w:ascii="宋体" w:hAnsi="宋体"/>
          <w:color w:val="auto"/>
          <w:sz w:val="32"/>
          <w:lang w:val="zh-CN"/>
        </w:rPr>
        <w:t>大卫生、大健康</w:t>
      </w:r>
      <w:r>
        <w:rPr>
          <w:rFonts w:hint="default" w:ascii="宋体" w:hAnsi="宋体"/>
          <w:color w:val="auto"/>
          <w:sz w:val="32"/>
          <w:lang w:val="zh-CN"/>
        </w:rPr>
        <w:t>”</w:t>
      </w:r>
      <w:r>
        <w:rPr>
          <w:rFonts w:hint="eastAsia" w:ascii="宋体" w:hAnsi="宋体"/>
          <w:color w:val="auto"/>
          <w:sz w:val="32"/>
          <w:lang w:val="zh-CN"/>
        </w:rPr>
        <w:t>理念，坚持预防为主、防治结合的原则，以基层为重点，以改革创新为动力，中西医并重，把健康融入所有政策，针对重大疾病和一些突出问题，聚焦重点人群，实施一批重大行动，政府、社会、个人协同推进，建立健全健康教育体系，引导群众建立正确健康观，形成有利于健康的生活方式、生态环境和社会环境，促进以治病为中心向以健康为中心转变，提高人民健康水平。</w:t>
      </w:r>
    </w:p>
    <w:p>
      <w:pPr>
        <w:spacing w:beforeLines="0" w:afterLines="0" w:line="600" w:lineRule="atLeast"/>
        <w:ind w:firstLine="643"/>
        <w:rPr>
          <w:rFonts w:hint="default" w:ascii="Times New Roman" w:hAnsi="Times New Roman" w:eastAsia="Times New Roman"/>
          <w:b/>
          <w:color w:val="auto"/>
          <w:sz w:val="32"/>
          <w:lang w:val="en-US"/>
        </w:rPr>
      </w:pPr>
      <w:r>
        <w:rPr>
          <w:rFonts w:hint="eastAsia" w:ascii="宋体" w:hAnsi="宋体"/>
          <w:b/>
          <w:color w:val="auto"/>
          <w:sz w:val="32"/>
          <w:lang w:val="zh-CN"/>
        </w:rPr>
        <w:t>（二）基本路径。</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宋体" w:hAnsi="宋体"/>
          <w:color w:val="auto"/>
          <w:sz w:val="32"/>
          <w:lang w:val="zh-CN"/>
        </w:rPr>
        <w:t>——</w:t>
      </w:r>
      <w:r>
        <w:rPr>
          <w:rFonts w:hint="eastAsia" w:ascii="宋体" w:hAnsi="宋体"/>
          <w:b/>
          <w:color w:val="auto"/>
          <w:sz w:val="32"/>
          <w:lang w:val="zh-CN"/>
        </w:rPr>
        <w:t>普及健康知识。</w:t>
      </w:r>
      <w:r>
        <w:rPr>
          <w:rFonts w:hint="eastAsia" w:ascii="宋体" w:hAnsi="宋体"/>
          <w:color w:val="auto"/>
          <w:sz w:val="32"/>
          <w:lang w:val="zh-CN"/>
        </w:rPr>
        <w:t>把提升健康素养作为增进全民健康的前提，根据不同人群特点有针对性地加强健康教育与促进，让健康知识、行为和技能成为全民普遍具备的素质和能力，实现健康素养人人有。</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宋体" w:hAnsi="宋体"/>
          <w:color w:val="auto"/>
          <w:sz w:val="32"/>
          <w:lang w:val="zh-CN"/>
        </w:rPr>
        <w:t>——</w:t>
      </w:r>
      <w:r>
        <w:rPr>
          <w:rFonts w:hint="eastAsia" w:ascii="宋体" w:hAnsi="宋体"/>
          <w:b/>
          <w:color w:val="auto"/>
          <w:sz w:val="32"/>
          <w:lang w:val="zh-CN"/>
        </w:rPr>
        <w:t>参与健康行动。</w:t>
      </w:r>
      <w:r>
        <w:rPr>
          <w:rFonts w:hint="eastAsia" w:ascii="宋体" w:hAnsi="宋体"/>
          <w:color w:val="auto"/>
          <w:sz w:val="32"/>
          <w:lang w:val="zh-CN"/>
        </w:rPr>
        <w:t>倡导每个人是自己健康第一责任人的理念，激发居民热爱健康、追求健康的热情，养成符合自身和家庭特点的健康生活方式，合理膳食、科学运动、戒烟限酒、心理平衡，实现健康生活少生病。</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宋体" w:hAnsi="宋体"/>
          <w:color w:val="auto"/>
          <w:sz w:val="32"/>
          <w:lang w:val="zh-CN"/>
        </w:rPr>
        <w:t>——</w:t>
      </w:r>
      <w:r>
        <w:rPr>
          <w:rFonts w:hint="eastAsia" w:ascii="宋体" w:hAnsi="宋体"/>
          <w:b/>
          <w:color w:val="auto"/>
          <w:sz w:val="32"/>
          <w:lang w:val="zh-CN"/>
        </w:rPr>
        <w:t>提供健康服务。</w:t>
      </w:r>
      <w:r>
        <w:rPr>
          <w:rFonts w:hint="eastAsia" w:ascii="宋体" w:hAnsi="宋体"/>
          <w:color w:val="auto"/>
          <w:sz w:val="32"/>
          <w:lang w:val="zh-CN"/>
        </w:rPr>
        <w:t>推动健康服务供给侧结构性改革，完善防治策略、制度安排和保障政策，加强医疗保障政策与公共卫生政策衔接，提供系统连续的预防、治疗、康复、健康促进一体化服务，提升健康服务的公平性、可及性、有效性，实现早诊早治早康复。</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宋体" w:hAnsi="宋体"/>
          <w:color w:val="auto"/>
          <w:sz w:val="32"/>
          <w:lang w:val="zh-CN"/>
        </w:rPr>
        <w:t>——</w:t>
      </w:r>
      <w:r>
        <w:rPr>
          <w:rFonts w:hint="eastAsia" w:ascii="宋体" w:hAnsi="宋体"/>
          <w:b/>
          <w:color w:val="auto"/>
          <w:sz w:val="32"/>
          <w:lang w:val="zh-CN"/>
        </w:rPr>
        <w:t>延长健康寿命。</w:t>
      </w:r>
      <w:r>
        <w:rPr>
          <w:rFonts w:hint="eastAsia" w:ascii="宋体" w:hAnsi="宋体"/>
          <w:color w:val="auto"/>
          <w:sz w:val="32"/>
          <w:lang w:val="zh-CN"/>
        </w:rPr>
        <w:t>强化跨部门协作，鼓励和引导单位、社区、家庭、居民个人行动起来，对主要健康问题及影响因素采取有效干预，形成政府积极主导、社会广泛参与、个人自主自律的良好局面，持续提高健康预期寿命。</w:t>
      </w:r>
    </w:p>
    <w:p>
      <w:pPr>
        <w:spacing w:beforeLines="0" w:afterLines="0" w:line="600" w:lineRule="atLeast"/>
        <w:ind w:firstLine="643"/>
        <w:rPr>
          <w:rFonts w:hint="default" w:ascii="Times New Roman" w:hAnsi="Times New Roman" w:eastAsia="Times New Roman"/>
          <w:b/>
          <w:color w:val="auto"/>
          <w:sz w:val="32"/>
          <w:lang w:val="en-US"/>
        </w:rPr>
      </w:pPr>
      <w:r>
        <w:rPr>
          <w:rFonts w:hint="eastAsia" w:ascii="宋体" w:hAnsi="宋体"/>
          <w:b/>
          <w:color w:val="auto"/>
          <w:sz w:val="32"/>
          <w:lang w:val="zh-CN"/>
        </w:rPr>
        <w:t>（三）总体目标。</w:t>
      </w:r>
    </w:p>
    <w:p>
      <w:pPr>
        <w:spacing w:beforeLines="0" w:afterLines="0" w:line="600" w:lineRule="atLeast"/>
        <w:ind w:firstLine="640"/>
        <w:rPr>
          <w:rFonts w:hint="default" w:ascii="Times New Roman" w:hAnsi="Times New Roman" w:eastAsia="Times New Roman"/>
          <w:color w:val="auto"/>
          <w:sz w:val="32"/>
          <w:lang w:val="en-US"/>
        </w:rPr>
      </w:pPr>
      <w:r>
        <w:rPr>
          <w:rFonts w:hint="eastAsia" w:ascii="宋体" w:hAnsi="宋体"/>
          <w:color w:val="auto"/>
          <w:sz w:val="32"/>
          <w:lang w:val="zh-CN"/>
        </w:rPr>
        <w:t>到</w:t>
      </w:r>
      <w:r>
        <w:rPr>
          <w:rFonts w:hint="default" w:ascii="Times New Roman" w:hAnsi="Times New Roman" w:eastAsia="Times New Roman"/>
          <w:color w:val="auto"/>
          <w:sz w:val="32"/>
          <w:lang w:val="en-US"/>
        </w:rPr>
        <w:t>2022</w:t>
      </w:r>
      <w:r>
        <w:rPr>
          <w:rFonts w:hint="eastAsia" w:ascii="宋体" w:hAnsi="宋体"/>
          <w:color w:val="auto"/>
          <w:sz w:val="32"/>
          <w:lang w:val="zh-CN"/>
        </w:rPr>
        <w:t>年，覆盖经济社会各相关领域的健康促进政策体系基本建立，全民健康素养水平稳步提高，健康生活方式加快推广，心脑血管疾病、癌症、慢性呼吸系统疾病、糖尿病等重大慢性病发病率上升趋势得到遏制，重点传染病、严重精神障碍、地方病、职业病得到有效防控，致残和死亡风险逐步降低，重点人群健康状况显著改善。</w:t>
      </w:r>
    </w:p>
    <w:p>
      <w:pPr>
        <w:spacing w:beforeLines="0" w:afterLines="0" w:line="600" w:lineRule="atLeast"/>
        <w:ind w:firstLine="640"/>
        <w:rPr>
          <w:rFonts w:hint="default" w:ascii="Times New Roman" w:hAnsi="Times New Roman" w:eastAsia="Times New Roman"/>
          <w:color w:val="auto"/>
          <w:sz w:val="32"/>
          <w:lang w:val="en-US"/>
        </w:rPr>
      </w:pPr>
      <w:r>
        <w:rPr>
          <w:rFonts w:hint="eastAsia" w:ascii="宋体" w:hAnsi="宋体"/>
          <w:color w:val="auto"/>
          <w:sz w:val="32"/>
          <w:lang w:val="zh-CN"/>
        </w:rPr>
        <w:t>到</w:t>
      </w:r>
      <w:r>
        <w:rPr>
          <w:rFonts w:hint="default" w:ascii="Times New Roman" w:hAnsi="Times New Roman" w:eastAsia="Times New Roman"/>
          <w:color w:val="auto"/>
          <w:sz w:val="32"/>
          <w:lang w:val="en-US"/>
        </w:rPr>
        <w:t>2030</w:t>
      </w:r>
      <w:r>
        <w:rPr>
          <w:rFonts w:hint="eastAsia" w:ascii="宋体" w:hAnsi="宋体"/>
          <w:color w:val="auto"/>
          <w:sz w:val="32"/>
          <w:lang w:val="zh-CN"/>
        </w:rPr>
        <w:t>年，全民健康素养水平大幅提升，健康生活方式基本普及，居民主要健康影响因素得到有效控制，因重大慢性病导致的过早死亡率明显降低，人均健康预期寿命得到较大提高，居民主要健康指标水平进入高收入国家行列，健康公平基本实现，实现《</w:t>
      </w:r>
      <w:r>
        <w:rPr>
          <w:rFonts w:hint="default" w:ascii="宋体" w:hAnsi="宋体"/>
          <w:color w:val="auto"/>
          <w:sz w:val="32"/>
          <w:lang w:val="zh-CN"/>
        </w:rPr>
        <w:t>“</w:t>
      </w:r>
      <w:r>
        <w:rPr>
          <w:rFonts w:hint="eastAsia" w:ascii="宋体" w:hAnsi="宋体"/>
          <w:color w:val="auto"/>
          <w:sz w:val="32"/>
          <w:lang w:val="zh-CN"/>
        </w:rPr>
        <w:t>健康中国</w:t>
      </w:r>
      <w:r>
        <w:rPr>
          <w:rFonts w:hint="default" w:ascii="Times New Roman" w:hAnsi="Times New Roman" w:eastAsia="Times New Roman"/>
          <w:color w:val="auto"/>
          <w:sz w:val="32"/>
          <w:lang w:val="en-US"/>
        </w:rPr>
        <w:t>2030</w:t>
      </w:r>
      <w:r>
        <w:rPr>
          <w:rFonts w:hint="default" w:ascii="宋体" w:hAnsi="宋体"/>
          <w:color w:val="auto"/>
          <w:sz w:val="32"/>
          <w:lang w:val="zh-CN"/>
        </w:rPr>
        <w:t>”</w:t>
      </w:r>
      <w:r>
        <w:rPr>
          <w:rFonts w:hint="eastAsia" w:ascii="宋体" w:hAnsi="宋体"/>
          <w:color w:val="auto"/>
          <w:sz w:val="32"/>
          <w:lang w:val="zh-CN"/>
        </w:rPr>
        <w:t>规划纲要》有关目标。</w:t>
      </w:r>
    </w:p>
    <w:p>
      <w:pPr>
        <w:spacing w:beforeLines="0" w:afterLines="0" w:line="600" w:lineRule="atLeast"/>
        <w:ind w:firstLine="640"/>
        <w:rPr>
          <w:rFonts w:hint="default" w:ascii="Times New Roman" w:hAnsi="Times New Roman" w:eastAsia="Times New Roman"/>
          <w:color w:val="auto"/>
          <w:sz w:val="32"/>
          <w:lang w:val="en-US"/>
        </w:rPr>
      </w:pPr>
    </w:p>
    <w:p>
      <w:pPr>
        <w:spacing w:beforeLines="0" w:afterLines="0" w:line="600" w:lineRule="atLeast"/>
        <w:ind w:firstLine="640"/>
        <w:rPr>
          <w:rFonts w:hint="default" w:ascii="Times New Roman" w:hAnsi="Times New Roman" w:eastAsia="Times New Roman"/>
          <w:color w:val="auto"/>
          <w:sz w:val="32"/>
          <w:lang w:val="en-US"/>
        </w:rPr>
      </w:pPr>
      <w:r>
        <w:rPr>
          <w:rFonts w:hint="eastAsia" w:ascii="宋体" w:hAnsi="宋体"/>
          <w:color w:val="auto"/>
          <w:sz w:val="32"/>
          <w:lang w:val="zh-CN"/>
        </w:rPr>
        <w:t>二、主要指标</w:t>
      </w:r>
    </w:p>
    <w:p>
      <w:pPr>
        <w:spacing w:beforeLines="0" w:afterLines="0" w:line="600" w:lineRule="atLeast"/>
        <w:jc w:val="center"/>
        <w:rPr>
          <w:rFonts w:hint="default" w:ascii="Times New Roman" w:hAnsi="Times New Roman" w:eastAsia="Times New Roman"/>
          <w:b/>
          <w:color w:val="auto"/>
          <w:sz w:val="32"/>
          <w:lang w:val="en-US"/>
        </w:rPr>
      </w:pPr>
      <w:r>
        <w:rPr>
          <w:rFonts w:hint="eastAsia" w:ascii="宋体" w:hAnsi="宋体"/>
          <w:b/>
          <w:color w:val="auto"/>
          <w:sz w:val="32"/>
          <w:lang w:val="zh-CN"/>
        </w:rPr>
        <w:t>健康中国行动主要指标</w:t>
      </w:r>
    </w:p>
    <w:tbl>
      <w:tblPr>
        <w:tblStyle w:val="3"/>
        <w:tblW w:w="10907" w:type="dxa"/>
        <w:jc w:val="center"/>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5"/>
        <w:gridCol w:w="693"/>
        <w:gridCol w:w="3458"/>
        <w:gridCol w:w="986"/>
        <w:gridCol w:w="1276"/>
        <w:gridCol w:w="851"/>
        <w:gridCol w:w="803"/>
        <w:gridCol w:w="1095"/>
        <w:gridCol w:w="1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3" w:hRule="atLeast"/>
          <w:jc w:val="center"/>
        </w:trPr>
        <w:tc>
          <w:tcPr>
            <w:tcW w:w="695"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领域</w:t>
            </w:r>
          </w:p>
        </w:tc>
        <w:tc>
          <w:tcPr>
            <w:tcW w:w="693"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序号</w:t>
            </w:r>
          </w:p>
        </w:tc>
        <w:tc>
          <w:tcPr>
            <w:tcW w:w="3458"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指标</w:t>
            </w:r>
          </w:p>
        </w:tc>
        <w:tc>
          <w:tcPr>
            <w:tcW w:w="2262"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基期水平</w:t>
            </w:r>
          </w:p>
        </w:tc>
        <w:tc>
          <w:tcPr>
            <w:tcW w:w="851"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2022</w:t>
            </w:r>
            <w:r>
              <w:rPr>
                <w:rFonts w:hint="eastAsia" w:ascii="宋体" w:hAnsi="宋体"/>
                <w:color w:val="auto"/>
                <w:sz w:val="24"/>
                <w:lang w:val="zh-CN"/>
              </w:rPr>
              <w:t>年目标值</w:t>
            </w:r>
          </w:p>
        </w:tc>
        <w:tc>
          <w:tcPr>
            <w:tcW w:w="1898"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2030</w:t>
            </w:r>
            <w:r>
              <w:rPr>
                <w:rFonts w:hint="eastAsia" w:ascii="宋体" w:hAnsi="宋体"/>
                <w:color w:val="auto"/>
                <w:sz w:val="24"/>
                <w:lang w:val="zh-CN"/>
              </w:rPr>
              <w:t>年目标值</w:t>
            </w:r>
          </w:p>
        </w:tc>
        <w:tc>
          <w:tcPr>
            <w:tcW w:w="105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指标</w:t>
            </w:r>
          </w:p>
          <w:p>
            <w:pPr>
              <w:spacing w:beforeLines="0" w:afterLines="0"/>
              <w:jc w:val="center"/>
              <w:rPr>
                <w:rFonts w:hint="eastAsia" w:ascii="宋体" w:hAnsi="宋体"/>
                <w:color w:val="auto"/>
                <w:sz w:val="22"/>
                <w:lang w:val="zh-CN"/>
              </w:rPr>
            </w:pPr>
            <w:r>
              <w:rPr>
                <w:rFonts w:hint="eastAsia" w:ascii="宋体" w:hAnsi="宋体"/>
                <w:color w:val="auto"/>
                <w:sz w:val="24"/>
                <w:lang w:val="zh-CN"/>
              </w:rPr>
              <w:t>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default" w:ascii="Times New Roman" w:hAnsi="Times New Roman" w:eastAsia="Times New Roman"/>
                <w:color w:val="auto"/>
                <w:sz w:val="32"/>
                <w:lang w:val="en-US"/>
              </w:rPr>
            </w:pPr>
          </w:p>
          <w:p>
            <w:pPr>
              <w:spacing w:beforeLines="0" w:afterLines="0"/>
              <w:jc w:val="center"/>
              <w:rPr>
                <w:rFonts w:hint="default" w:ascii="Times New Roman" w:hAnsi="Times New Roman" w:eastAsia="Times New Roman"/>
                <w:color w:val="auto"/>
                <w:sz w:val="32"/>
                <w:lang w:val="en-US"/>
              </w:rPr>
            </w:pPr>
          </w:p>
          <w:p>
            <w:pPr>
              <w:spacing w:beforeLines="0" w:afterLines="0"/>
              <w:jc w:val="center"/>
              <w:rPr>
                <w:rFonts w:hint="default" w:ascii="Times New Roman" w:hAnsi="Times New Roman" w:eastAsia="Times New Roman"/>
                <w:color w:val="auto"/>
                <w:sz w:val="32"/>
                <w:lang w:val="en-US"/>
              </w:rPr>
            </w:pPr>
          </w:p>
          <w:p>
            <w:pPr>
              <w:spacing w:beforeLines="0" w:afterLines="0"/>
              <w:jc w:val="center"/>
              <w:rPr>
                <w:rFonts w:hint="default" w:ascii="Times New Roman" w:hAnsi="Times New Roman" w:eastAsia="Times New Roman"/>
                <w:color w:val="auto"/>
                <w:sz w:val="32"/>
                <w:lang w:val="en-US"/>
              </w:rPr>
            </w:pPr>
          </w:p>
          <w:p>
            <w:pPr>
              <w:spacing w:beforeLines="0" w:afterLines="0"/>
              <w:jc w:val="center"/>
              <w:rPr>
                <w:rFonts w:hint="default" w:ascii="Times New Roman" w:hAnsi="Times New Roman" w:eastAsia="Times New Roman"/>
                <w:color w:val="auto"/>
                <w:sz w:val="32"/>
                <w:lang w:val="en-US"/>
              </w:rPr>
            </w:pPr>
          </w:p>
          <w:p>
            <w:pPr>
              <w:spacing w:beforeLines="0" w:afterLines="0"/>
              <w:jc w:val="center"/>
              <w:rPr>
                <w:rFonts w:hint="default" w:ascii="Times New Roman" w:hAnsi="Times New Roman" w:eastAsia="Times New Roman"/>
                <w:color w:val="auto"/>
                <w:sz w:val="32"/>
                <w:lang w:val="en-US"/>
              </w:rPr>
            </w:pPr>
          </w:p>
          <w:p>
            <w:pPr>
              <w:spacing w:beforeLines="0" w:afterLines="0"/>
              <w:jc w:val="center"/>
              <w:rPr>
                <w:rFonts w:hint="default" w:ascii="Times New Roman" w:hAnsi="Times New Roman" w:eastAsia="Times New Roman"/>
                <w:color w:val="auto"/>
                <w:sz w:val="21"/>
                <w:lang w:val="en-US"/>
              </w:rPr>
            </w:pPr>
            <w:r>
              <w:rPr>
                <w:rFonts w:hint="eastAsia" w:ascii="宋体" w:hAnsi="宋体"/>
                <w:color w:val="auto"/>
                <w:sz w:val="21"/>
                <w:lang w:val="zh-CN"/>
              </w:rPr>
              <w:t>（一）</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健</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康</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知</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识</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普</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及</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行</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动</w:t>
            </w:r>
          </w:p>
          <w:p>
            <w:pPr>
              <w:spacing w:beforeLines="0" w:afterLines="0"/>
              <w:jc w:val="center"/>
              <w:rPr>
                <w:rFonts w:hint="default" w:ascii="Times New Roman" w:hAnsi="Times New Roman" w:eastAsia="Times New Roman"/>
                <w:color w:val="auto"/>
                <w:sz w:val="32"/>
                <w:lang w:val="en-US"/>
              </w:rPr>
            </w:pPr>
          </w:p>
          <w:p>
            <w:pPr>
              <w:spacing w:beforeLines="0" w:afterLines="0"/>
              <w:jc w:val="center"/>
              <w:rPr>
                <w:rFonts w:hint="default" w:ascii="Times New Roman" w:hAnsi="Times New Roman" w:eastAsia="Times New Roman"/>
                <w:color w:val="auto"/>
                <w:sz w:val="32"/>
                <w:lang w:val="en-US"/>
              </w:rPr>
            </w:pPr>
          </w:p>
          <w:p>
            <w:pPr>
              <w:spacing w:beforeLines="0" w:afterLines="0"/>
              <w:jc w:val="center"/>
              <w:rPr>
                <w:rFonts w:hint="default" w:ascii="Times New Roman" w:hAnsi="Times New Roman" w:eastAsia="Times New Roman"/>
                <w:color w:val="auto"/>
                <w:sz w:val="24"/>
                <w:lang w:val="en-US"/>
              </w:rPr>
            </w:pPr>
          </w:p>
          <w:p>
            <w:pPr>
              <w:spacing w:beforeLines="0" w:afterLines="0"/>
              <w:jc w:val="center"/>
              <w:rPr>
                <w:rFonts w:hint="eastAsia" w:ascii="宋体" w:hAnsi="宋体"/>
                <w:color w:val="auto"/>
                <w:sz w:val="22"/>
                <w:lang w:val="zh-CN"/>
              </w:rPr>
            </w:pPr>
          </w:p>
        </w:tc>
        <w:tc>
          <w:tcPr>
            <w:tcW w:w="10212" w:type="dxa"/>
            <w:gridSpan w:val="8"/>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color w:val="auto"/>
                <w:sz w:val="24"/>
                <w:lang w:val="zh-CN"/>
              </w:rPr>
              <w:t>结果性指标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1</w:t>
            </w:r>
          </w:p>
        </w:tc>
        <w:tc>
          <w:tcPr>
            <w:tcW w:w="3458"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b/>
                <w:color w:val="auto"/>
                <w:sz w:val="24"/>
                <w:lang w:val="zh-CN"/>
              </w:rPr>
              <w:t>居民健康素养水平（</w:t>
            </w:r>
            <w:r>
              <w:rPr>
                <w:rFonts w:hint="default" w:ascii="Times New Roman" w:hAnsi="Times New Roman" w:eastAsia="Times New Roman"/>
                <w:b/>
                <w:color w:val="auto"/>
                <w:sz w:val="24"/>
                <w:lang w:val="en-US"/>
              </w:rPr>
              <w:t>%</w:t>
            </w:r>
            <w:r>
              <w:rPr>
                <w:rFonts w:hint="eastAsia" w:ascii="宋体" w:hAnsi="宋体"/>
                <w:b/>
                <w:color w:val="auto"/>
                <w:sz w:val="24"/>
                <w:lang w:val="zh-CN"/>
              </w:rPr>
              <w:t>）</w:t>
            </w:r>
          </w:p>
        </w:tc>
        <w:tc>
          <w:tcPr>
            <w:tcW w:w="2262"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14.18</w:t>
            </w:r>
          </w:p>
        </w:tc>
        <w:tc>
          <w:tcPr>
            <w:tcW w:w="851"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w:t>
            </w:r>
            <w:r>
              <w:rPr>
                <w:rFonts w:hint="default" w:ascii="Times New Roman" w:hAnsi="Times New Roman" w:eastAsia="Times New Roman"/>
                <w:color w:val="auto"/>
                <w:sz w:val="24"/>
                <w:lang w:val="en-US"/>
              </w:rPr>
              <w:t>22</w:t>
            </w:r>
          </w:p>
        </w:tc>
        <w:tc>
          <w:tcPr>
            <w:tcW w:w="1898"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w:t>
            </w:r>
            <w:r>
              <w:rPr>
                <w:rFonts w:hint="default" w:ascii="Times New Roman" w:hAnsi="Times New Roman" w:eastAsia="Times New Roman"/>
                <w:color w:val="auto"/>
                <w:sz w:val="24"/>
                <w:lang w:val="en-US"/>
              </w:rPr>
              <w:t>30</w:t>
            </w:r>
          </w:p>
        </w:tc>
        <w:tc>
          <w:tcPr>
            <w:tcW w:w="105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color w:val="auto"/>
                <w:sz w:val="24"/>
                <w:lang w:val="zh-C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43"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9519" w:type="dxa"/>
            <w:gridSpan w:val="7"/>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default" w:ascii="Times New Roman" w:hAnsi="Times New Roman" w:eastAsia="Times New Roman"/>
                <w:color w:val="auto"/>
                <w:sz w:val="21"/>
                <w:lang w:val="en-US"/>
              </w:rPr>
            </w:pPr>
            <w:r>
              <w:rPr>
                <w:rFonts w:hint="eastAsia" w:ascii="宋体" w:hAnsi="宋体"/>
                <w:color w:val="auto"/>
                <w:sz w:val="21"/>
                <w:lang w:val="zh-CN"/>
              </w:rPr>
              <w:t>说明：健康素养是指个人获取和理解基本健康信息和服务，并运用这些信息和服务作出正确决策，以维护和促进自身健康的能力。健康素养水平是指具备健康素养的人在监测总人群中所占的比例。</w:t>
            </w:r>
          </w:p>
          <w:p>
            <w:pPr>
              <w:spacing w:beforeLines="0" w:afterLines="0"/>
              <w:rPr>
                <w:rFonts w:hint="eastAsia" w:ascii="宋体" w:hAnsi="宋体"/>
                <w:color w:val="auto"/>
                <w:sz w:val="22"/>
                <w:lang w:val="zh-CN"/>
              </w:rPr>
            </w:pPr>
            <w:r>
              <w:rPr>
                <w:rFonts w:hint="eastAsia" w:ascii="宋体" w:hAnsi="宋体"/>
                <w:color w:val="auto"/>
                <w:sz w:val="21"/>
                <w:lang w:val="zh-CN"/>
              </w:rPr>
              <w:t>计算方法：具备基本健康素养的人数</w:t>
            </w:r>
            <w:r>
              <w:rPr>
                <w:rFonts w:hint="default" w:ascii="Times New Roman" w:hAnsi="Times New Roman" w:eastAsia="Times New Roman"/>
                <w:color w:val="auto"/>
                <w:sz w:val="21"/>
                <w:lang w:val="en-US"/>
              </w:rPr>
              <w:t>/</w:t>
            </w:r>
            <w:r>
              <w:rPr>
                <w:rFonts w:hint="eastAsia" w:ascii="宋体" w:hAnsi="宋体"/>
                <w:color w:val="auto"/>
                <w:sz w:val="21"/>
                <w:lang w:val="zh-CN"/>
              </w:rPr>
              <w:t>监测人群总人数×</w:t>
            </w:r>
            <w:r>
              <w:rPr>
                <w:rFonts w:hint="default" w:ascii="Times New Roman" w:hAnsi="Times New Roman" w:eastAsia="Times New Roman"/>
                <w:color w:val="auto"/>
                <w:sz w:val="21"/>
                <w:lang w:val="en-US"/>
              </w:rPr>
              <w:t>100%</w:t>
            </w:r>
            <w:r>
              <w:rPr>
                <w:rFonts w:hint="eastAsia" w:ascii="宋体" w:hAnsi="宋体"/>
                <w:color w:val="auto"/>
                <w:sz w:val="21"/>
                <w:lang w:val="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10212" w:type="dxa"/>
            <w:gridSpan w:val="8"/>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color w:val="auto"/>
                <w:sz w:val="24"/>
                <w:lang w:val="zh-CN"/>
              </w:rPr>
              <w:t>个人和社会倡导性指标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2</w:t>
            </w:r>
          </w:p>
        </w:tc>
        <w:tc>
          <w:tcPr>
            <w:tcW w:w="8469" w:type="dxa"/>
            <w:gridSpan w:val="6"/>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b/>
                <w:color w:val="auto"/>
                <w:sz w:val="24"/>
                <w:lang w:val="zh-CN"/>
              </w:rPr>
              <w:t>个人定期记录身心健康状况</w:t>
            </w:r>
          </w:p>
        </w:tc>
        <w:tc>
          <w:tcPr>
            <w:tcW w:w="105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倡导性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3</w:t>
            </w:r>
          </w:p>
        </w:tc>
        <w:tc>
          <w:tcPr>
            <w:tcW w:w="8469" w:type="dxa"/>
            <w:gridSpan w:val="6"/>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b/>
                <w:color w:val="auto"/>
                <w:sz w:val="24"/>
                <w:lang w:val="zh-CN"/>
              </w:rPr>
              <w:t>个人了解掌握基本中医药健康知识</w:t>
            </w:r>
          </w:p>
        </w:tc>
        <w:tc>
          <w:tcPr>
            <w:tcW w:w="105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倡导性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4</w:t>
            </w:r>
          </w:p>
        </w:tc>
        <w:tc>
          <w:tcPr>
            <w:tcW w:w="8469" w:type="dxa"/>
            <w:gridSpan w:val="6"/>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b/>
                <w:color w:val="auto"/>
                <w:sz w:val="24"/>
                <w:lang w:val="zh-CN"/>
              </w:rPr>
              <w:t>居民掌握基本的急救知识和技能</w:t>
            </w:r>
          </w:p>
        </w:tc>
        <w:tc>
          <w:tcPr>
            <w:tcW w:w="105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倡导性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9519" w:type="dxa"/>
            <w:gridSpan w:val="7"/>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1"/>
                <w:lang w:val="zh-CN"/>
              </w:rPr>
              <w:t>说明：基本的急救知识和技能包括心肺复苏术、急救包扎和固定搬运、海姆立克急救法（对气管被异物堵塞的患者，通过向其上腹部施压，促进异物排出）等。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5</w:t>
            </w:r>
          </w:p>
        </w:tc>
        <w:tc>
          <w:tcPr>
            <w:tcW w:w="8469" w:type="dxa"/>
            <w:gridSpan w:val="6"/>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b/>
                <w:color w:val="auto"/>
                <w:sz w:val="24"/>
                <w:lang w:val="zh-CN"/>
              </w:rPr>
              <w:t>医务人员掌握与岗位相适应的健康科普知识，并在诊疗过程主动提供健康指导。</w:t>
            </w:r>
          </w:p>
        </w:tc>
        <w:tc>
          <w:tcPr>
            <w:tcW w:w="105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倡导性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10212" w:type="dxa"/>
            <w:gridSpan w:val="8"/>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color w:val="auto"/>
                <w:sz w:val="24"/>
                <w:lang w:val="zh-CN"/>
              </w:rPr>
              <w:t>政府工作指标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6</w:t>
            </w:r>
          </w:p>
        </w:tc>
        <w:tc>
          <w:tcPr>
            <w:tcW w:w="3458"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b/>
                <w:color w:val="auto"/>
                <w:sz w:val="24"/>
                <w:lang w:val="zh-CN"/>
              </w:rPr>
              <w:t>建立并完善健康科普专家库和资源库，构建健康科普知识发布和传播机制</w:t>
            </w:r>
          </w:p>
        </w:tc>
        <w:tc>
          <w:tcPr>
            <w:tcW w:w="2262"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宋体" w:hAnsi="宋体"/>
                <w:color w:val="auto"/>
                <w:sz w:val="24"/>
                <w:lang w:val="zh-CN"/>
              </w:rPr>
              <w:t>—</w:t>
            </w:r>
          </w:p>
        </w:tc>
        <w:tc>
          <w:tcPr>
            <w:tcW w:w="2749" w:type="dxa"/>
            <w:gridSpan w:val="3"/>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实现</w:t>
            </w:r>
          </w:p>
        </w:tc>
        <w:tc>
          <w:tcPr>
            <w:tcW w:w="105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9519" w:type="dxa"/>
            <w:gridSpan w:val="7"/>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color w:val="auto"/>
                <w:sz w:val="21"/>
                <w:lang w:val="zh-CN"/>
              </w:rPr>
              <w:t>说明：建立并完善国家和省级健康科普专家库，组织专家开展健康科普活动；建立并完善国家级健康科普资源库，出版、遴选、推介一批健康科普读物和科普材料；构建健康科普知识发布和传播的机制。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7</w:t>
            </w:r>
          </w:p>
        </w:tc>
        <w:tc>
          <w:tcPr>
            <w:tcW w:w="3458"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b/>
                <w:color w:val="auto"/>
                <w:sz w:val="24"/>
                <w:lang w:val="zh-CN"/>
              </w:rPr>
              <w:t>建立医疗机构和医务人员开展健康教育和健康促进的绩效考核机制</w:t>
            </w:r>
          </w:p>
        </w:tc>
        <w:tc>
          <w:tcPr>
            <w:tcW w:w="2262"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宋体" w:hAnsi="宋体"/>
                <w:color w:val="auto"/>
                <w:sz w:val="24"/>
                <w:lang w:val="zh-CN"/>
              </w:rPr>
              <w:t>—</w:t>
            </w:r>
          </w:p>
        </w:tc>
        <w:tc>
          <w:tcPr>
            <w:tcW w:w="2749" w:type="dxa"/>
            <w:gridSpan w:val="3"/>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实现</w:t>
            </w:r>
          </w:p>
        </w:tc>
        <w:tc>
          <w:tcPr>
            <w:tcW w:w="105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3" w:hRule="atLeast"/>
          <w:jc w:val="center"/>
        </w:trPr>
        <w:tc>
          <w:tcPr>
            <w:tcW w:w="695" w:type="dxa"/>
            <w:vMerge w:val="continue"/>
            <w:tcBorders>
              <w:top w:val="single" w:color="000000" w:sz="4" w:space="0"/>
              <w:left w:val="single" w:color="000000" w:sz="4" w:space="0"/>
              <w:bottom w:val="single" w:color="000000" w:sz="2"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tcBorders>
              <w:top w:val="single" w:color="000000" w:sz="4" w:space="0"/>
              <w:left w:val="single" w:color="000000" w:sz="4" w:space="0"/>
              <w:bottom w:val="single" w:color="000000" w:sz="2"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8</w:t>
            </w:r>
          </w:p>
        </w:tc>
        <w:tc>
          <w:tcPr>
            <w:tcW w:w="3458" w:type="dxa"/>
            <w:tcBorders>
              <w:top w:val="single" w:color="000000" w:sz="4" w:space="0"/>
              <w:left w:val="single" w:color="000000" w:sz="4" w:space="0"/>
              <w:bottom w:val="single" w:color="000000" w:sz="2"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b/>
                <w:color w:val="auto"/>
                <w:sz w:val="24"/>
                <w:lang w:val="zh-CN"/>
              </w:rPr>
              <w:t>中医医院设置治未病科室比例（</w:t>
            </w:r>
            <w:r>
              <w:rPr>
                <w:rFonts w:hint="default" w:ascii="Times New Roman" w:hAnsi="Times New Roman" w:eastAsia="Times New Roman"/>
                <w:b/>
                <w:color w:val="auto"/>
                <w:sz w:val="24"/>
                <w:lang w:val="en-US"/>
              </w:rPr>
              <w:t>%</w:t>
            </w:r>
            <w:r>
              <w:rPr>
                <w:rFonts w:hint="eastAsia" w:ascii="宋体" w:hAnsi="宋体"/>
                <w:b/>
                <w:color w:val="auto"/>
                <w:sz w:val="24"/>
                <w:lang w:val="zh-CN"/>
              </w:rPr>
              <w:t>）</w:t>
            </w:r>
          </w:p>
        </w:tc>
        <w:tc>
          <w:tcPr>
            <w:tcW w:w="2262" w:type="dxa"/>
            <w:gridSpan w:val="2"/>
            <w:tcBorders>
              <w:top w:val="single" w:color="000000" w:sz="4" w:space="0"/>
              <w:left w:val="single" w:color="000000" w:sz="4" w:space="0"/>
              <w:bottom w:val="single" w:color="000000" w:sz="2"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宋体" w:hAnsi="宋体"/>
                <w:color w:val="auto"/>
                <w:sz w:val="24"/>
                <w:lang w:val="zh-CN"/>
              </w:rPr>
              <w:t>—</w:t>
            </w:r>
          </w:p>
        </w:tc>
        <w:tc>
          <w:tcPr>
            <w:tcW w:w="851" w:type="dxa"/>
            <w:tcBorders>
              <w:top w:val="single" w:color="000000" w:sz="4" w:space="0"/>
              <w:left w:val="single" w:color="000000" w:sz="4" w:space="0"/>
              <w:bottom w:val="single" w:color="000000" w:sz="2"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90</w:t>
            </w:r>
          </w:p>
        </w:tc>
        <w:tc>
          <w:tcPr>
            <w:tcW w:w="1898" w:type="dxa"/>
            <w:gridSpan w:val="2"/>
            <w:tcBorders>
              <w:top w:val="single" w:color="000000" w:sz="4" w:space="0"/>
              <w:left w:val="single" w:color="000000" w:sz="4" w:space="0"/>
              <w:bottom w:val="single" w:color="000000" w:sz="2"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100</w:t>
            </w:r>
          </w:p>
        </w:tc>
        <w:tc>
          <w:tcPr>
            <w:tcW w:w="1050" w:type="dxa"/>
            <w:tcBorders>
              <w:top w:val="single" w:color="000000" w:sz="4" w:space="0"/>
              <w:left w:val="single" w:color="000000" w:sz="4" w:space="0"/>
              <w:bottom w:val="single" w:color="000000" w:sz="2"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0" w:hRule="atLeast"/>
          <w:jc w:val="center"/>
        </w:trPr>
        <w:tc>
          <w:tcPr>
            <w:tcW w:w="695"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rPr>
                <w:rFonts w:hint="default" w:ascii="Times New Roman" w:hAnsi="Times New Roman" w:eastAsia="Times New Roman"/>
                <w:color w:val="auto"/>
                <w:sz w:val="32"/>
                <w:lang w:val="en-US"/>
              </w:rPr>
            </w:pPr>
          </w:p>
          <w:p>
            <w:pPr>
              <w:spacing w:beforeLines="0" w:afterLines="0"/>
              <w:jc w:val="center"/>
              <w:rPr>
                <w:rFonts w:hint="default" w:ascii="Times New Roman" w:hAnsi="Times New Roman" w:eastAsia="Times New Roman"/>
                <w:color w:val="auto"/>
                <w:sz w:val="21"/>
                <w:lang w:val="en-US"/>
              </w:rPr>
            </w:pPr>
            <w:r>
              <w:rPr>
                <w:rFonts w:hint="eastAsia" w:ascii="宋体" w:hAnsi="宋体"/>
                <w:color w:val="auto"/>
                <w:sz w:val="21"/>
                <w:lang w:val="zh-CN"/>
              </w:rPr>
              <w:t>（二）</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合</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理</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膳</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食</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行</w:t>
            </w:r>
          </w:p>
          <w:p>
            <w:pPr>
              <w:spacing w:beforeLines="0" w:afterLines="0"/>
              <w:ind w:firstLine="120"/>
              <w:rPr>
                <w:rFonts w:hint="default" w:ascii="Times New Roman" w:hAnsi="Times New Roman" w:eastAsia="Times New Roman"/>
                <w:color w:val="auto"/>
                <w:sz w:val="32"/>
                <w:lang w:val="en-US"/>
              </w:rPr>
            </w:pPr>
            <w:r>
              <w:rPr>
                <w:rFonts w:hint="eastAsia" w:ascii="宋体" w:hAnsi="宋体"/>
                <w:color w:val="auto"/>
                <w:sz w:val="24"/>
                <w:lang w:val="zh-CN"/>
              </w:rPr>
              <w:t>动</w:t>
            </w:r>
          </w:p>
          <w:p>
            <w:pPr>
              <w:spacing w:beforeLines="0" w:afterLines="0"/>
              <w:rPr>
                <w:rFonts w:hint="default" w:ascii="Times New Roman" w:hAnsi="Times New Roman" w:eastAsia="Times New Roman"/>
                <w:color w:val="auto"/>
                <w:sz w:val="32"/>
                <w:lang w:val="en-US"/>
              </w:rPr>
            </w:pPr>
          </w:p>
          <w:p>
            <w:pPr>
              <w:spacing w:beforeLines="0" w:afterLines="0"/>
              <w:rPr>
                <w:rFonts w:hint="default" w:ascii="Times New Roman" w:hAnsi="Times New Roman" w:eastAsia="Times New Roman"/>
                <w:color w:val="auto"/>
                <w:sz w:val="32"/>
                <w:lang w:val="en-US"/>
              </w:rPr>
            </w:pPr>
          </w:p>
          <w:p>
            <w:pPr>
              <w:spacing w:beforeLines="0" w:afterLines="0"/>
              <w:rPr>
                <w:rFonts w:hint="default" w:ascii="Times New Roman" w:hAnsi="Times New Roman" w:eastAsia="Times New Roman"/>
                <w:color w:val="auto"/>
                <w:sz w:val="32"/>
                <w:lang w:val="en-US"/>
              </w:rPr>
            </w:pPr>
          </w:p>
          <w:p>
            <w:pPr>
              <w:spacing w:beforeLines="0" w:afterLines="0"/>
              <w:rPr>
                <w:rFonts w:hint="default" w:ascii="Times New Roman" w:hAnsi="Times New Roman" w:eastAsia="Times New Roman"/>
                <w:color w:val="auto"/>
                <w:sz w:val="32"/>
                <w:lang w:val="en-US"/>
              </w:rPr>
            </w:pPr>
          </w:p>
          <w:p>
            <w:pPr>
              <w:spacing w:beforeLines="0" w:afterLines="0"/>
              <w:rPr>
                <w:rFonts w:hint="default" w:ascii="Times New Roman" w:hAnsi="Times New Roman" w:eastAsia="Times New Roman"/>
                <w:color w:val="auto"/>
                <w:sz w:val="32"/>
                <w:lang w:val="en-US"/>
              </w:rPr>
            </w:pPr>
          </w:p>
          <w:p>
            <w:pPr>
              <w:spacing w:beforeLines="0" w:afterLines="0"/>
              <w:rPr>
                <w:rFonts w:hint="default" w:ascii="Times New Roman" w:hAnsi="Times New Roman" w:eastAsia="Times New Roman"/>
                <w:color w:val="auto"/>
                <w:sz w:val="32"/>
                <w:lang w:val="en-US"/>
              </w:rPr>
            </w:pPr>
          </w:p>
          <w:p>
            <w:pPr>
              <w:spacing w:beforeLines="0" w:afterLines="0"/>
              <w:rPr>
                <w:rFonts w:hint="default" w:ascii="Times New Roman" w:hAnsi="Times New Roman" w:eastAsia="Times New Roman"/>
                <w:color w:val="auto"/>
                <w:sz w:val="32"/>
                <w:lang w:val="en-US"/>
              </w:rPr>
            </w:pPr>
          </w:p>
          <w:p>
            <w:pPr>
              <w:spacing w:beforeLines="0" w:afterLines="0"/>
              <w:rPr>
                <w:rFonts w:hint="default" w:ascii="Times New Roman" w:hAnsi="Times New Roman" w:eastAsia="Times New Roman"/>
                <w:color w:val="auto"/>
                <w:sz w:val="32"/>
                <w:lang w:val="en-US"/>
              </w:rPr>
            </w:pPr>
          </w:p>
          <w:p>
            <w:pPr>
              <w:spacing w:beforeLines="0" w:afterLines="0"/>
              <w:rPr>
                <w:rFonts w:hint="default" w:ascii="Times New Roman" w:hAnsi="Times New Roman" w:eastAsia="Times New Roman"/>
                <w:color w:val="auto"/>
                <w:sz w:val="32"/>
                <w:lang w:val="en-US"/>
              </w:rPr>
            </w:pPr>
          </w:p>
          <w:p>
            <w:pPr>
              <w:spacing w:beforeLines="0" w:afterLines="0"/>
              <w:rPr>
                <w:rFonts w:hint="default" w:ascii="Times New Roman" w:hAnsi="Times New Roman" w:eastAsia="Times New Roman"/>
                <w:color w:val="auto"/>
                <w:sz w:val="32"/>
                <w:lang w:val="en-US"/>
              </w:rPr>
            </w:pPr>
          </w:p>
          <w:p>
            <w:pPr>
              <w:spacing w:beforeLines="0" w:afterLines="0"/>
              <w:rPr>
                <w:rFonts w:hint="default" w:ascii="Times New Roman" w:hAnsi="Times New Roman" w:eastAsia="Times New Roman"/>
                <w:color w:val="auto"/>
                <w:sz w:val="32"/>
                <w:lang w:val="en-US"/>
              </w:rPr>
            </w:pPr>
          </w:p>
          <w:p>
            <w:pPr>
              <w:spacing w:beforeLines="0" w:afterLines="0"/>
              <w:rPr>
                <w:rFonts w:hint="default" w:ascii="Times New Roman" w:hAnsi="Times New Roman" w:eastAsia="Times New Roman"/>
                <w:color w:val="auto"/>
                <w:sz w:val="32"/>
                <w:lang w:val="en-US"/>
              </w:rPr>
            </w:pPr>
          </w:p>
          <w:p>
            <w:pPr>
              <w:spacing w:beforeLines="0" w:afterLines="0"/>
              <w:jc w:val="center"/>
              <w:rPr>
                <w:rFonts w:hint="default" w:ascii="Times New Roman" w:hAnsi="Times New Roman" w:eastAsia="Times New Roman"/>
                <w:color w:val="auto"/>
                <w:sz w:val="21"/>
                <w:lang w:val="en-US"/>
              </w:rPr>
            </w:pPr>
          </w:p>
          <w:p>
            <w:pPr>
              <w:spacing w:beforeLines="0" w:afterLines="0"/>
              <w:jc w:val="center"/>
              <w:rPr>
                <w:rFonts w:hint="default" w:ascii="Times New Roman" w:hAnsi="Times New Roman" w:eastAsia="Times New Roman"/>
                <w:color w:val="auto"/>
                <w:sz w:val="21"/>
                <w:lang w:val="en-US"/>
              </w:rPr>
            </w:pPr>
          </w:p>
          <w:p>
            <w:pPr>
              <w:spacing w:beforeLines="0" w:afterLines="0"/>
              <w:jc w:val="center"/>
              <w:rPr>
                <w:rFonts w:hint="default" w:ascii="Times New Roman" w:hAnsi="Times New Roman" w:eastAsia="Times New Roman"/>
                <w:color w:val="auto"/>
                <w:sz w:val="21"/>
                <w:lang w:val="en-US"/>
              </w:rPr>
            </w:pPr>
          </w:p>
          <w:p>
            <w:pPr>
              <w:spacing w:beforeLines="0" w:afterLines="0"/>
              <w:jc w:val="center"/>
              <w:rPr>
                <w:rFonts w:hint="default" w:ascii="Times New Roman" w:hAnsi="Times New Roman" w:eastAsia="Times New Roman"/>
                <w:color w:val="auto"/>
                <w:sz w:val="21"/>
                <w:lang w:val="en-US"/>
              </w:rPr>
            </w:pPr>
          </w:p>
          <w:p>
            <w:pPr>
              <w:spacing w:beforeLines="0" w:afterLines="0"/>
              <w:jc w:val="center"/>
              <w:rPr>
                <w:rFonts w:hint="default" w:ascii="Times New Roman" w:hAnsi="Times New Roman" w:eastAsia="Times New Roman"/>
                <w:color w:val="auto"/>
                <w:sz w:val="21"/>
                <w:lang w:val="en-US"/>
              </w:rPr>
            </w:pPr>
          </w:p>
          <w:p>
            <w:pPr>
              <w:spacing w:beforeLines="0" w:afterLines="0"/>
              <w:jc w:val="center"/>
              <w:rPr>
                <w:rFonts w:hint="default" w:ascii="Times New Roman" w:hAnsi="Times New Roman" w:eastAsia="Times New Roman"/>
                <w:color w:val="auto"/>
                <w:sz w:val="21"/>
                <w:lang w:val="en-US"/>
              </w:rPr>
            </w:pP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1"/>
                <w:lang w:val="zh-CN"/>
              </w:rPr>
              <w:t>（二）</w:t>
            </w:r>
            <w:r>
              <w:rPr>
                <w:rFonts w:hint="eastAsia" w:ascii="宋体" w:hAnsi="宋体"/>
                <w:color w:val="auto"/>
                <w:sz w:val="24"/>
                <w:lang w:val="zh-CN"/>
              </w:rPr>
              <w:t>合</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理</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膳</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食</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行</w:t>
            </w:r>
          </w:p>
          <w:p>
            <w:pPr>
              <w:spacing w:beforeLines="0" w:afterLines="0"/>
              <w:jc w:val="center"/>
              <w:rPr>
                <w:rFonts w:hint="eastAsia" w:ascii="宋体" w:hAnsi="宋体"/>
                <w:color w:val="auto"/>
                <w:sz w:val="22"/>
                <w:lang w:val="zh-CN"/>
              </w:rPr>
            </w:pPr>
            <w:r>
              <w:rPr>
                <w:rFonts w:hint="eastAsia" w:ascii="宋体" w:hAnsi="宋体"/>
                <w:color w:val="auto"/>
                <w:sz w:val="24"/>
                <w:lang w:val="zh-CN"/>
              </w:rPr>
              <w:t>动</w:t>
            </w:r>
          </w:p>
        </w:tc>
        <w:tc>
          <w:tcPr>
            <w:tcW w:w="10212" w:type="dxa"/>
            <w:gridSpan w:val="8"/>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color w:val="auto"/>
                <w:sz w:val="24"/>
                <w:lang w:val="zh-CN"/>
              </w:rPr>
              <w:t>结果性指标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3" w:hRule="atLeast"/>
          <w:jc w:val="center"/>
        </w:trPr>
        <w:tc>
          <w:tcPr>
            <w:tcW w:w="695"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9</w:t>
            </w:r>
          </w:p>
        </w:tc>
        <w:tc>
          <w:tcPr>
            <w:tcW w:w="3458"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b/>
                <w:color w:val="auto"/>
                <w:sz w:val="24"/>
                <w:lang w:val="zh-CN"/>
              </w:rPr>
              <w:t>成人肥胖增长率（</w:t>
            </w:r>
            <w:r>
              <w:rPr>
                <w:rFonts w:hint="default" w:ascii="Times New Roman" w:hAnsi="Times New Roman" w:eastAsia="Times New Roman"/>
                <w:b/>
                <w:color w:val="auto"/>
                <w:sz w:val="24"/>
                <w:lang w:val="en-US"/>
              </w:rPr>
              <w:t>%</w:t>
            </w:r>
            <w:r>
              <w:rPr>
                <w:rFonts w:hint="eastAsia" w:ascii="宋体" w:hAnsi="宋体"/>
                <w:b/>
                <w:color w:val="auto"/>
                <w:sz w:val="24"/>
                <w:lang w:val="zh-CN"/>
              </w:rPr>
              <w:t>）</w:t>
            </w:r>
          </w:p>
        </w:tc>
        <w:tc>
          <w:tcPr>
            <w:tcW w:w="2262" w:type="dxa"/>
            <w:gridSpan w:val="2"/>
            <w:tcBorders>
              <w:top w:val="single" w:color="000000" w:sz="4" w:space="0"/>
              <w:left w:val="single" w:color="000000" w:sz="2"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pacing w:val="-20"/>
                <w:sz w:val="24"/>
                <w:lang w:val="en-US"/>
              </w:rPr>
              <w:t>2002</w:t>
            </w:r>
            <w:r>
              <w:rPr>
                <w:rFonts w:hint="default" w:ascii="宋体" w:hAnsi="宋体"/>
                <w:color w:val="auto"/>
                <w:spacing w:val="-20"/>
                <w:sz w:val="24"/>
                <w:lang w:val="zh-CN"/>
              </w:rPr>
              <w:t>—</w:t>
            </w:r>
            <w:r>
              <w:rPr>
                <w:rFonts w:hint="default" w:ascii="Times New Roman" w:hAnsi="Times New Roman" w:eastAsia="Times New Roman"/>
                <w:color w:val="auto"/>
                <w:spacing w:val="-20"/>
                <w:sz w:val="24"/>
                <w:lang w:val="en-US"/>
              </w:rPr>
              <w:t>2012</w:t>
            </w:r>
            <w:r>
              <w:rPr>
                <w:rFonts w:hint="eastAsia" w:ascii="宋体" w:hAnsi="宋体"/>
                <w:color w:val="auto"/>
                <w:sz w:val="24"/>
                <w:lang w:val="zh-CN"/>
              </w:rPr>
              <w:t>年平均每年增长约</w:t>
            </w:r>
            <w:r>
              <w:rPr>
                <w:rFonts w:hint="default" w:ascii="Times New Roman" w:hAnsi="Times New Roman" w:eastAsia="Times New Roman"/>
                <w:color w:val="auto"/>
                <w:sz w:val="24"/>
                <w:lang w:val="en-US"/>
              </w:rPr>
              <w:t>5.3%</w:t>
            </w:r>
          </w:p>
        </w:tc>
        <w:tc>
          <w:tcPr>
            <w:tcW w:w="2749" w:type="dxa"/>
            <w:gridSpan w:val="3"/>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持续减缓</w:t>
            </w:r>
          </w:p>
        </w:tc>
        <w:tc>
          <w:tcPr>
            <w:tcW w:w="105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3" w:hRule="atLeast"/>
          <w:jc w:val="center"/>
        </w:trPr>
        <w:tc>
          <w:tcPr>
            <w:tcW w:w="695"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9519" w:type="dxa"/>
            <w:gridSpan w:val="7"/>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color w:val="auto"/>
                <w:sz w:val="21"/>
                <w:lang w:val="zh-CN"/>
              </w:rPr>
              <w:t>说明：体重指数（</w:t>
            </w:r>
            <w:r>
              <w:rPr>
                <w:rFonts w:hint="default" w:ascii="Times New Roman" w:hAnsi="Times New Roman" w:eastAsia="Times New Roman"/>
                <w:color w:val="auto"/>
                <w:sz w:val="21"/>
                <w:lang w:val="en-US"/>
              </w:rPr>
              <w:t>BMI</w:t>
            </w:r>
            <w:r>
              <w:rPr>
                <w:rFonts w:hint="eastAsia" w:ascii="宋体" w:hAnsi="宋体"/>
                <w:color w:val="auto"/>
                <w:sz w:val="21"/>
                <w:lang w:val="zh-CN"/>
              </w:rPr>
              <w:t>）为体重（</w:t>
            </w:r>
            <w:r>
              <w:rPr>
                <w:rFonts w:hint="default" w:ascii="Times New Roman" w:hAnsi="Times New Roman" w:eastAsia="Times New Roman"/>
                <w:color w:val="auto"/>
                <w:sz w:val="21"/>
                <w:lang w:val="en-US"/>
              </w:rPr>
              <w:t>kg</w:t>
            </w:r>
            <w:r>
              <w:rPr>
                <w:rFonts w:hint="eastAsia" w:ascii="宋体" w:hAnsi="宋体"/>
                <w:color w:val="auto"/>
                <w:sz w:val="21"/>
                <w:lang w:val="zh-CN"/>
              </w:rPr>
              <w:t>）</w:t>
            </w:r>
            <w:r>
              <w:rPr>
                <w:rFonts w:hint="default" w:ascii="Times New Roman" w:hAnsi="Times New Roman" w:eastAsia="Times New Roman"/>
                <w:color w:val="auto"/>
                <w:sz w:val="21"/>
                <w:lang w:val="en-US"/>
              </w:rPr>
              <w:t>/</w:t>
            </w:r>
            <w:r>
              <w:rPr>
                <w:rFonts w:hint="eastAsia" w:ascii="宋体" w:hAnsi="宋体"/>
                <w:color w:val="auto"/>
                <w:sz w:val="21"/>
                <w:lang w:val="zh-CN"/>
              </w:rPr>
              <w:t>身高的平方（</w:t>
            </w:r>
            <w:r>
              <w:rPr>
                <w:rFonts w:hint="default" w:ascii="Times New Roman" w:hAnsi="Times New Roman" w:eastAsia="Times New Roman"/>
                <w:color w:val="auto"/>
                <w:sz w:val="21"/>
                <w:lang w:val="en-US"/>
              </w:rPr>
              <w:t>m</w:t>
            </w:r>
            <w:r>
              <w:rPr>
                <w:rFonts w:hint="default" w:ascii="Times New Roman" w:hAnsi="Times New Roman" w:eastAsia="Times New Roman"/>
                <w:color w:val="auto"/>
                <w:sz w:val="21"/>
                <w:vertAlign w:val="superscript"/>
                <w:lang w:val="en-US"/>
              </w:rPr>
              <w:t>2</w:t>
            </w:r>
            <w:r>
              <w:rPr>
                <w:rFonts w:hint="eastAsia" w:ascii="宋体" w:hAnsi="宋体"/>
                <w:color w:val="auto"/>
                <w:sz w:val="21"/>
                <w:lang w:val="zh-CN"/>
              </w:rPr>
              <w:t>），按照中国成人体重判定标准，体重指数≥</w:t>
            </w:r>
            <w:r>
              <w:rPr>
                <w:rFonts w:hint="default" w:ascii="Times New Roman" w:hAnsi="Times New Roman" w:eastAsia="Times New Roman"/>
                <w:color w:val="auto"/>
                <w:sz w:val="21"/>
                <w:lang w:val="en-US"/>
              </w:rPr>
              <w:t>28</w:t>
            </w:r>
            <w:r>
              <w:rPr>
                <w:rFonts w:hint="default" w:ascii="Times New Roman" w:hAnsi="Times New Roman" w:eastAsia="Times New Roman"/>
                <w:color w:val="auto"/>
                <w:sz w:val="32"/>
                <w:lang w:val="en-US"/>
              </w:rPr>
              <w:t xml:space="preserve"> </w:t>
            </w:r>
            <w:r>
              <w:rPr>
                <w:rFonts w:hint="default" w:ascii="Times New Roman" w:hAnsi="Times New Roman" w:eastAsia="Times New Roman"/>
                <w:color w:val="auto"/>
                <w:sz w:val="21"/>
                <w:lang w:val="en-US"/>
              </w:rPr>
              <w:t>kg/</w:t>
            </w:r>
            <w:r>
              <w:rPr>
                <w:rFonts w:hint="eastAsia" w:ascii="宋体" w:hAnsi="宋体"/>
                <w:color w:val="auto"/>
                <w:sz w:val="21"/>
                <w:lang w:val="zh-CN"/>
              </w:rPr>
              <w:t>㎡即为肥胖。成人肥胖增长率是指</w:t>
            </w:r>
            <w:r>
              <w:rPr>
                <w:rFonts w:hint="default" w:ascii="Times New Roman" w:hAnsi="Times New Roman" w:eastAsia="Times New Roman"/>
                <w:color w:val="auto"/>
                <w:sz w:val="21"/>
                <w:lang w:val="en-US"/>
              </w:rPr>
              <w:t>18</w:t>
            </w:r>
            <w:r>
              <w:rPr>
                <w:rFonts w:hint="eastAsia" w:ascii="宋体" w:hAnsi="宋体"/>
                <w:color w:val="auto"/>
                <w:sz w:val="21"/>
                <w:lang w:val="zh-CN"/>
              </w:rPr>
              <w:t>岁及以上居民肥胖率的年均增长速度。</w:t>
            </w:r>
            <w:r>
              <w:rPr>
                <w:rFonts w:hint="default" w:ascii="Times New Roman" w:hAnsi="Times New Roman" w:eastAsia="Times New Roman"/>
                <w:color w:val="auto"/>
                <w:sz w:val="21"/>
                <w:lang w:val="en-US"/>
              </w:rPr>
              <w:t>2012</w:t>
            </w:r>
            <w:r>
              <w:rPr>
                <w:rFonts w:hint="eastAsia" w:ascii="宋体" w:hAnsi="宋体"/>
                <w:color w:val="auto"/>
                <w:sz w:val="21"/>
                <w:lang w:val="zh-CN"/>
              </w:rPr>
              <w:t>年与</w:t>
            </w:r>
            <w:r>
              <w:rPr>
                <w:rFonts w:hint="default" w:ascii="Times New Roman" w:hAnsi="Times New Roman" w:eastAsia="Times New Roman"/>
                <w:color w:val="auto"/>
                <w:sz w:val="21"/>
                <w:lang w:val="en-US"/>
              </w:rPr>
              <w:t>2002</w:t>
            </w:r>
            <w:r>
              <w:rPr>
                <w:rFonts w:hint="eastAsia" w:ascii="宋体" w:hAnsi="宋体"/>
                <w:color w:val="auto"/>
                <w:sz w:val="21"/>
                <w:lang w:val="zh-CN"/>
              </w:rPr>
              <w:t>年相比，我国成人肥胖率上升了</w:t>
            </w:r>
            <w:r>
              <w:rPr>
                <w:rFonts w:hint="default" w:ascii="Times New Roman" w:hAnsi="Times New Roman" w:eastAsia="Times New Roman"/>
                <w:color w:val="auto"/>
                <w:sz w:val="21"/>
                <w:lang w:val="en-US"/>
              </w:rPr>
              <w:t>67.6%</w:t>
            </w:r>
            <w:r>
              <w:rPr>
                <w:rFonts w:hint="eastAsia" w:ascii="宋体" w:hAnsi="宋体"/>
                <w:color w:val="auto"/>
                <w:sz w:val="21"/>
                <w:lang w:val="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3" w:hRule="atLeast"/>
          <w:jc w:val="center"/>
        </w:trPr>
        <w:tc>
          <w:tcPr>
            <w:tcW w:w="695"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10</w:t>
            </w:r>
          </w:p>
        </w:tc>
        <w:tc>
          <w:tcPr>
            <w:tcW w:w="3458"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b/>
                <w:color w:val="auto"/>
                <w:sz w:val="24"/>
                <w:lang w:val="zh-CN"/>
              </w:rPr>
              <w:t>居民营养健康知识知晓率（</w:t>
            </w:r>
            <w:r>
              <w:rPr>
                <w:rFonts w:hint="default" w:ascii="Times New Roman" w:hAnsi="Times New Roman" w:eastAsia="Times New Roman"/>
                <w:b/>
                <w:color w:val="auto"/>
                <w:sz w:val="24"/>
                <w:lang w:val="en-US"/>
              </w:rPr>
              <w:t>%</w:t>
            </w:r>
            <w:r>
              <w:rPr>
                <w:rFonts w:hint="eastAsia" w:ascii="宋体" w:hAnsi="宋体"/>
                <w:b/>
                <w:color w:val="auto"/>
                <w:sz w:val="24"/>
                <w:lang w:val="zh-CN"/>
              </w:rPr>
              <w:t>）</w:t>
            </w:r>
          </w:p>
        </w:tc>
        <w:tc>
          <w:tcPr>
            <w:tcW w:w="2262" w:type="dxa"/>
            <w:gridSpan w:val="2"/>
            <w:tcBorders>
              <w:top w:val="single" w:color="000000" w:sz="4" w:space="0"/>
              <w:left w:val="single" w:color="000000" w:sz="2"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宋体" w:hAnsi="宋体"/>
                <w:color w:val="auto"/>
                <w:sz w:val="24"/>
                <w:lang w:val="zh-CN"/>
              </w:rPr>
              <w:t>—</w:t>
            </w:r>
          </w:p>
        </w:tc>
        <w:tc>
          <w:tcPr>
            <w:tcW w:w="851"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pacing w:val="-8"/>
                <w:sz w:val="24"/>
                <w:lang w:val="zh-CN"/>
              </w:rPr>
              <w:t>比</w:t>
            </w:r>
            <w:r>
              <w:rPr>
                <w:rFonts w:hint="default" w:ascii="Times New Roman" w:hAnsi="Times New Roman" w:eastAsia="Times New Roman"/>
                <w:color w:val="auto"/>
                <w:spacing w:val="-8"/>
                <w:sz w:val="24"/>
                <w:lang w:val="en-US"/>
              </w:rPr>
              <w:t>2019</w:t>
            </w:r>
            <w:r>
              <w:rPr>
                <w:rFonts w:hint="eastAsia" w:ascii="宋体" w:hAnsi="宋体"/>
                <w:color w:val="auto"/>
                <w:spacing w:val="-8"/>
                <w:sz w:val="24"/>
                <w:lang w:val="zh-CN"/>
              </w:rPr>
              <w:t>年提高</w:t>
            </w:r>
            <w:r>
              <w:rPr>
                <w:rFonts w:hint="default" w:ascii="Times New Roman" w:hAnsi="Times New Roman" w:eastAsia="Times New Roman"/>
                <w:color w:val="auto"/>
                <w:spacing w:val="-8"/>
                <w:sz w:val="24"/>
                <w:lang w:val="en-US"/>
              </w:rPr>
              <w:t>10%</w:t>
            </w:r>
          </w:p>
        </w:tc>
        <w:tc>
          <w:tcPr>
            <w:tcW w:w="1898"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pacing w:val="-8"/>
                <w:sz w:val="24"/>
                <w:lang w:val="zh-CN"/>
              </w:rPr>
              <w:t>比</w:t>
            </w:r>
            <w:r>
              <w:rPr>
                <w:rFonts w:hint="default" w:ascii="Times New Roman" w:hAnsi="Times New Roman" w:eastAsia="Times New Roman"/>
                <w:color w:val="auto"/>
                <w:spacing w:val="-8"/>
                <w:sz w:val="24"/>
                <w:lang w:val="en-US"/>
              </w:rPr>
              <w:t>2022</w:t>
            </w:r>
            <w:r>
              <w:rPr>
                <w:rFonts w:hint="eastAsia" w:ascii="宋体" w:hAnsi="宋体"/>
                <w:color w:val="auto"/>
                <w:spacing w:val="-8"/>
                <w:sz w:val="24"/>
                <w:lang w:val="zh-CN"/>
              </w:rPr>
              <w:t>年</w:t>
            </w:r>
            <w:r>
              <w:rPr>
                <w:rFonts w:hint="eastAsia" w:ascii="宋体" w:hAnsi="宋体"/>
                <w:color w:val="auto"/>
                <w:sz w:val="24"/>
                <w:lang w:val="zh-CN"/>
              </w:rPr>
              <w:t>提高</w:t>
            </w:r>
            <w:r>
              <w:rPr>
                <w:rFonts w:hint="default" w:ascii="Times New Roman" w:hAnsi="Times New Roman" w:eastAsia="Times New Roman"/>
                <w:color w:val="auto"/>
                <w:sz w:val="24"/>
                <w:lang w:val="en-US"/>
              </w:rPr>
              <w:t>10%</w:t>
            </w:r>
          </w:p>
        </w:tc>
        <w:tc>
          <w:tcPr>
            <w:tcW w:w="105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8" w:hRule="atLeast"/>
          <w:jc w:val="center"/>
        </w:trPr>
        <w:tc>
          <w:tcPr>
            <w:tcW w:w="695"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9519" w:type="dxa"/>
            <w:gridSpan w:val="7"/>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color w:val="auto"/>
                <w:sz w:val="21"/>
                <w:lang w:val="zh-CN"/>
              </w:rPr>
              <w:t>计算方法：具备基本营养健康知识的人数</w:t>
            </w:r>
            <w:r>
              <w:rPr>
                <w:rFonts w:hint="default" w:ascii="Times New Roman" w:hAnsi="Times New Roman" w:eastAsia="Times New Roman"/>
                <w:color w:val="auto"/>
                <w:sz w:val="21"/>
                <w:lang w:val="en-US"/>
              </w:rPr>
              <w:t>/</w:t>
            </w:r>
            <w:r>
              <w:rPr>
                <w:rFonts w:hint="eastAsia" w:ascii="宋体" w:hAnsi="宋体"/>
                <w:color w:val="auto"/>
                <w:sz w:val="21"/>
                <w:lang w:val="zh-CN"/>
              </w:rPr>
              <w:t>监测人群总人数×</w:t>
            </w:r>
            <w:r>
              <w:rPr>
                <w:rFonts w:hint="default" w:ascii="Times New Roman" w:hAnsi="Times New Roman" w:eastAsia="Times New Roman"/>
                <w:color w:val="auto"/>
                <w:sz w:val="21"/>
                <w:lang w:val="en-US"/>
              </w:rPr>
              <w:t>100%</w:t>
            </w:r>
            <w:r>
              <w:rPr>
                <w:rFonts w:hint="eastAsia" w:ascii="宋体" w:hAnsi="宋体"/>
                <w:color w:val="auto"/>
                <w:sz w:val="21"/>
                <w:lang w:val="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3" w:hRule="atLeast"/>
          <w:jc w:val="center"/>
        </w:trPr>
        <w:tc>
          <w:tcPr>
            <w:tcW w:w="695"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11</w:t>
            </w:r>
          </w:p>
        </w:tc>
        <w:tc>
          <w:tcPr>
            <w:tcW w:w="3458"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b/>
                <w:color w:val="auto"/>
                <w:sz w:val="24"/>
                <w:lang w:val="zh-CN"/>
              </w:rPr>
              <w:t>孕妇贫血率（</w:t>
            </w:r>
            <w:r>
              <w:rPr>
                <w:rFonts w:hint="default" w:ascii="Times New Roman" w:hAnsi="Times New Roman" w:eastAsia="Times New Roman"/>
                <w:b/>
                <w:color w:val="auto"/>
                <w:sz w:val="24"/>
                <w:lang w:val="en-US"/>
              </w:rPr>
              <w:t>%</w:t>
            </w:r>
            <w:r>
              <w:rPr>
                <w:rFonts w:hint="eastAsia" w:ascii="宋体" w:hAnsi="宋体"/>
                <w:b/>
                <w:color w:val="auto"/>
                <w:sz w:val="24"/>
                <w:lang w:val="zh-CN"/>
              </w:rPr>
              <w:t>）</w:t>
            </w:r>
          </w:p>
        </w:tc>
        <w:tc>
          <w:tcPr>
            <w:tcW w:w="2262" w:type="dxa"/>
            <w:gridSpan w:val="2"/>
            <w:tcBorders>
              <w:top w:val="single" w:color="000000" w:sz="4" w:space="0"/>
              <w:left w:val="single" w:color="000000" w:sz="2"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2013</w:t>
            </w:r>
            <w:r>
              <w:rPr>
                <w:rFonts w:hint="eastAsia" w:ascii="宋体" w:hAnsi="宋体"/>
                <w:color w:val="auto"/>
                <w:sz w:val="24"/>
                <w:lang w:val="zh-CN"/>
              </w:rPr>
              <w:t>年为</w:t>
            </w:r>
            <w:r>
              <w:rPr>
                <w:rFonts w:hint="default" w:ascii="Times New Roman" w:hAnsi="Times New Roman" w:eastAsia="Times New Roman"/>
                <w:color w:val="auto"/>
                <w:sz w:val="24"/>
                <w:lang w:val="en-US"/>
              </w:rPr>
              <w:t>17.2</w:t>
            </w:r>
          </w:p>
        </w:tc>
        <w:tc>
          <w:tcPr>
            <w:tcW w:w="851"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&lt;14</w:t>
            </w:r>
          </w:p>
        </w:tc>
        <w:tc>
          <w:tcPr>
            <w:tcW w:w="1898"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&lt;10</w:t>
            </w:r>
          </w:p>
        </w:tc>
        <w:tc>
          <w:tcPr>
            <w:tcW w:w="105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atLeast"/>
          <w:jc w:val="center"/>
        </w:trPr>
        <w:tc>
          <w:tcPr>
            <w:tcW w:w="695"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9519" w:type="dxa"/>
            <w:gridSpan w:val="7"/>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rPr>
                <w:rFonts w:hint="default" w:ascii="Times New Roman" w:hAnsi="Times New Roman" w:eastAsia="Times New Roman"/>
                <w:color w:val="auto"/>
                <w:sz w:val="21"/>
                <w:lang w:val="en-US"/>
              </w:rPr>
            </w:pPr>
            <w:r>
              <w:rPr>
                <w:rFonts w:hint="eastAsia" w:ascii="宋体" w:hAnsi="宋体"/>
                <w:color w:val="auto"/>
                <w:sz w:val="21"/>
                <w:lang w:val="zh-CN"/>
              </w:rPr>
              <w:t>说明：孕妇血红蛋白＜</w:t>
            </w:r>
            <w:r>
              <w:rPr>
                <w:rFonts w:hint="default" w:ascii="Times New Roman" w:hAnsi="Times New Roman" w:eastAsia="Times New Roman"/>
                <w:color w:val="auto"/>
                <w:sz w:val="21"/>
                <w:lang w:val="en-US"/>
              </w:rPr>
              <w:t>110g/L</w:t>
            </w:r>
            <w:r>
              <w:rPr>
                <w:rFonts w:hint="eastAsia" w:ascii="宋体" w:hAnsi="宋体"/>
                <w:color w:val="auto"/>
                <w:sz w:val="21"/>
                <w:lang w:val="zh-CN"/>
              </w:rPr>
              <w:t>诊断为贫血，此指标是衡量营养状况的重要指标。</w:t>
            </w:r>
          </w:p>
          <w:p>
            <w:pPr>
              <w:spacing w:beforeLines="0" w:afterLines="0"/>
              <w:rPr>
                <w:rFonts w:hint="eastAsia" w:ascii="宋体" w:hAnsi="宋体"/>
                <w:color w:val="auto"/>
                <w:sz w:val="22"/>
                <w:lang w:val="zh-CN"/>
              </w:rPr>
            </w:pPr>
            <w:r>
              <w:rPr>
                <w:rFonts w:hint="eastAsia" w:ascii="宋体" w:hAnsi="宋体"/>
                <w:color w:val="auto"/>
                <w:sz w:val="21"/>
                <w:lang w:val="zh-CN"/>
              </w:rPr>
              <w:t>计算方法：监测孕妇贫血人数</w:t>
            </w:r>
            <w:r>
              <w:rPr>
                <w:rFonts w:hint="default" w:ascii="Times New Roman" w:hAnsi="Times New Roman" w:eastAsia="Times New Roman"/>
                <w:color w:val="auto"/>
                <w:sz w:val="21"/>
                <w:lang w:val="en-US"/>
              </w:rPr>
              <w:t>/</w:t>
            </w:r>
            <w:r>
              <w:rPr>
                <w:rFonts w:hint="eastAsia" w:ascii="宋体" w:hAnsi="宋体"/>
                <w:color w:val="auto"/>
                <w:sz w:val="21"/>
                <w:lang w:val="zh-CN"/>
              </w:rPr>
              <w:t>监测孕妇总人数×</w:t>
            </w:r>
            <w:r>
              <w:rPr>
                <w:rFonts w:hint="default" w:ascii="Times New Roman" w:hAnsi="Times New Roman" w:eastAsia="Times New Roman"/>
                <w:color w:val="auto"/>
                <w:sz w:val="21"/>
                <w:lang w:val="en-US"/>
              </w:rPr>
              <w:t>100%</w:t>
            </w:r>
            <w:r>
              <w:rPr>
                <w:rFonts w:hint="eastAsia" w:ascii="宋体" w:hAnsi="宋体"/>
                <w:color w:val="auto"/>
                <w:sz w:val="21"/>
                <w:lang w:val="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12</w:t>
            </w:r>
          </w:p>
        </w:tc>
        <w:tc>
          <w:tcPr>
            <w:tcW w:w="3458"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default" w:ascii="Times New Roman" w:hAnsi="Times New Roman" w:eastAsia="Times New Roman"/>
                <w:b/>
                <w:color w:val="auto"/>
                <w:sz w:val="24"/>
                <w:lang w:val="en-US"/>
              </w:rPr>
              <w:t>5</w:t>
            </w:r>
            <w:r>
              <w:rPr>
                <w:rFonts w:hint="eastAsia" w:ascii="宋体" w:hAnsi="宋体"/>
                <w:b/>
                <w:color w:val="auto"/>
                <w:sz w:val="24"/>
                <w:lang w:val="zh-CN"/>
              </w:rPr>
              <w:t>岁以下儿童生长迟缓率（</w:t>
            </w:r>
            <w:r>
              <w:rPr>
                <w:rFonts w:hint="default" w:ascii="Times New Roman" w:hAnsi="Times New Roman" w:eastAsia="Times New Roman"/>
                <w:b/>
                <w:color w:val="auto"/>
                <w:sz w:val="24"/>
                <w:lang w:val="en-US"/>
              </w:rPr>
              <w:t>%</w:t>
            </w:r>
            <w:r>
              <w:rPr>
                <w:rFonts w:hint="eastAsia" w:ascii="宋体" w:hAnsi="宋体"/>
                <w:b/>
                <w:color w:val="auto"/>
                <w:sz w:val="24"/>
                <w:lang w:val="zh-CN"/>
              </w:rPr>
              <w:t>）</w:t>
            </w:r>
          </w:p>
        </w:tc>
        <w:tc>
          <w:tcPr>
            <w:tcW w:w="2262" w:type="dxa"/>
            <w:gridSpan w:val="2"/>
            <w:tcBorders>
              <w:top w:val="single" w:color="000000" w:sz="4" w:space="0"/>
              <w:left w:val="single" w:color="000000" w:sz="2"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2013</w:t>
            </w:r>
            <w:r>
              <w:rPr>
                <w:rFonts w:hint="eastAsia" w:ascii="宋体" w:hAnsi="宋体"/>
                <w:color w:val="auto"/>
                <w:sz w:val="24"/>
                <w:lang w:val="zh-CN"/>
              </w:rPr>
              <w:t>年为</w:t>
            </w:r>
            <w:r>
              <w:rPr>
                <w:rFonts w:hint="default" w:ascii="Times New Roman" w:hAnsi="Times New Roman" w:eastAsia="Times New Roman"/>
                <w:color w:val="auto"/>
                <w:sz w:val="24"/>
                <w:lang w:val="en-US"/>
              </w:rPr>
              <w:t>8.1</w:t>
            </w:r>
          </w:p>
        </w:tc>
        <w:tc>
          <w:tcPr>
            <w:tcW w:w="851"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&lt;7</w:t>
            </w:r>
          </w:p>
        </w:tc>
        <w:tc>
          <w:tcPr>
            <w:tcW w:w="1898"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&lt;5</w:t>
            </w:r>
          </w:p>
        </w:tc>
        <w:tc>
          <w:tcPr>
            <w:tcW w:w="105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53" w:hRule="atLeast"/>
          <w:jc w:val="center"/>
        </w:trPr>
        <w:tc>
          <w:tcPr>
            <w:tcW w:w="695"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9519" w:type="dxa"/>
            <w:gridSpan w:val="7"/>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rPr>
                <w:rFonts w:hint="default" w:ascii="Times New Roman" w:hAnsi="Times New Roman" w:eastAsia="Times New Roman"/>
                <w:color w:val="auto"/>
                <w:sz w:val="21"/>
                <w:lang w:val="en-US"/>
              </w:rPr>
            </w:pPr>
            <w:r>
              <w:rPr>
                <w:rFonts w:hint="eastAsia" w:ascii="宋体" w:hAnsi="宋体"/>
                <w:color w:val="auto"/>
                <w:sz w:val="21"/>
                <w:lang w:val="zh-CN"/>
              </w:rPr>
              <w:t>说明：儿童生长迟缓是指儿童年龄别身高低于标准身高中位数两个标准差。</w:t>
            </w:r>
          </w:p>
          <w:p>
            <w:pPr>
              <w:spacing w:beforeLines="0" w:afterLines="0"/>
              <w:rPr>
                <w:rFonts w:hint="eastAsia" w:ascii="宋体" w:hAnsi="宋体"/>
                <w:color w:val="auto"/>
                <w:sz w:val="22"/>
                <w:lang w:val="zh-CN"/>
              </w:rPr>
            </w:pPr>
            <w:r>
              <w:rPr>
                <w:rFonts w:hint="eastAsia" w:ascii="宋体" w:hAnsi="宋体"/>
                <w:color w:val="auto"/>
                <w:sz w:val="21"/>
                <w:lang w:val="zh-CN"/>
              </w:rPr>
              <w:t>计算方法：某地区当年</w:t>
            </w:r>
            <w:r>
              <w:rPr>
                <w:rFonts w:hint="default" w:ascii="Times New Roman" w:hAnsi="Times New Roman" w:eastAsia="Times New Roman"/>
                <w:color w:val="auto"/>
                <w:sz w:val="21"/>
                <w:lang w:val="en-US"/>
              </w:rPr>
              <w:t>5</w:t>
            </w:r>
            <w:r>
              <w:rPr>
                <w:rFonts w:hint="eastAsia" w:ascii="宋体" w:hAnsi="宋体"/>
                <w:color w:val="auto"/>
                <w:sz w:val="21"/>
                <w:lang w:val="zh-CN"/>
              </w:rPr>
              <w:t>岁以下儿童年龄别身高</w:t>
            </w:r>
            <w:r>
              <w:rPr>
                <w:rFonts w:hint="default" w:ascii="Times New Roman" w:hAnsi="Times New Roman" w:eastAsia="Times New Roman"/>
                <w:color w:val="auto"/>
                <w:sz w:val="21"/>
                <w:lang w:val="en-US"/>
              </w:rPr>
              <w:t>&lt;</w:t>
            </w:r>
            <w:r>
              <w:rPr>
                <w:rFonts w:hint="eastAsia" w:ascii="宋体" w:hAnsi="宋体"/>
                <w:color w:val="auto"/>
                <w:sz w:val="21"/>
                <w:lang w:val="zh-CN"/>
              </w:rPr>
              <w:t>（中位数﹣</w:t>
            </w:r>
            <w:r>
              <w:rPr>
                <w:rFonts w:hint="default" w:ascii="Times New Roman" w:hAnsi="Times New Roman" w:eastAsia="Times New Roman"/>
                <w:color w:val="auto"/>
                <w:sz w:val="21"/>
                <w:lang w:val="en-US"/>
              </w:rPr>
              <w:t>2</w:t>
            </w:r>
            <w:r>
              <w:rPr>
                <w:rFonts w:hint="eastAsia" w:ascii="宋体" w:hAnsi="宋体"/>
                <w:color w:val="auto"/>
                <w:sz w:val="21"/>
                <w:lang w:val="zh-CN"/>
              </w:rPr>
              <w:t>个标准差）人数</w:t>
            </w:r>
            <w:r>
              <w:rPr>
                <w:rFonts w:hint="default" w:ascii="Times New Roman" w:hAnsi="Times New Roman" w:eastAsia="Times New Roman"/>
                <w:color w:val="auto"/>
                <w:sz w:val="21"/>
                <w:lang w:val="en-US"/>
              </w:rPr>
              <w:t>/</w:t>
            </w:r>
            <w:r>
              <w:rPr>
                <w:rFonts w:hint="eastAsia" w:ascii="宋体" w:hAnsi="宋体"/>
                <w:color w:val="auto"/>
                <w:sz w:val="21"/>
                <w:lang w:val="zh-CN"/>
              </w:rPr>
              <w:t>某地区当年</w:t>
            </w:r>
            <w:r>
              <w:rPr>
                <w:rFonts w:hint="default" w:ascii="Times New Roman" w:hAnsi="Times New Roman" w:eastAsia="Times New Roman"/>
                <w:color w:val="auto"/>
                <w:sz w:val="21"/>
                <w:lang w:val="en-US"/>
              </w:rPr>
              <w:t>5</w:t>
            </w:r>
            <w:r>
              <w:rPr>
                <w:rFonts w:hint="eastAsia" w:ascii="宋体" w:hAnsi="宋体"/>
                <w:color w:val="auto"/>
                <w:sz w:val="21"/>
                <w:lang w:val="zh-CN"/>
              </w:rPr>
              <w:t>岁以下儿童身高（长）体重检查人数×</w:t>
            </w:r>
            <w:r>
              <w:rPr>
                <w:rFonts w:hint="default" w:ascii="Times New Roman" w:hAnsi="Times New Roman" w:eastAsia="Times New Roman"/>
                <w:color w:val="auto"/>
                <w:sz w:val="21"/>
                <w:lang w:val="en-US"/>
              </w:rPr>
              <w:t>100%</w:t>
            </w:r>
            <w:r>
              <w:rPr>
                <w:rFonts w:hint="eastAsia" w:ascii="宋体" w:hAnsi="宋体"/>
                <w:color w:val="auto"/>
                <w:sz w:val="21"/>
                <w:lang w:val="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10212" w:type="dxa"/>
            <w:gridSpan w:val="8"/>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color w:val="auto"/>
                <w:sz w:val="24"/>
                <w:lang w:val="zh-CN"/>
              </w:rPr>
              <w:t>个人和社会倡导性指标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13</w:t>
            </w:r>
          </w:p>
        </w:tc>
        <w:tc>
          <w:tcPr>
            <w:tcW w:w="3458"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b/>
                <w:color w:val="auto"/>
                <w:sz w:val="24"/>
                <w:lang w:val="zh-CN"/>
              </w:rPr>
              <w:t>人均每日食盐摄入量（</w:t>
            </w:r>
            <w:r>
              <w:rPr>
                <w:rFonts w:hint="default" w:ascii="Times New Roman" w:hAnsi="Times New Roman" w:eastAsia="Times New Roman"/>
                <w:b/>
                <w:color w:val="auto"/>
                <w:sz w:val="24"/>
                <w:lang w:val="en-US"/>
              </w:rPr>
              <w:t>g</w:t>
            </w:r>
            <w:r>
              <w:rPr>
                <w:rFonts w:hint="eastAsia" w:ascii="宋体" w:hAnsi="宋体"/>
                <w:b/>
                <w:color w:val="auto"/>
                <w:sz w:val="24"/>
                <w:lang w:val="zh-CN"/>
              </w:rPr>
              <w:t>）</w:t>
            </w:r>
          </w:p>
        </w:tc>
        <w:tc>
          <w:tcPr>
            <w:tcW w:w="2262" w:type="dxa"/>
            <w:gridSpan w:val="2"/>
            <w:tcBorders>
              <w:top w:val="single" w:color="000000" w:sz="4" w:space="0"/>
              <w:left w:val="single" w:color="000000" w:sz="2"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2012</w:t>
            </w:r>
            <w:r>
              <w:rPr>
                <w:rFonts w:hint="eastAsia" w:ascii="宋体" w:hAnsi="宋体"/>
                <w:color w:val="auto"/>
                <w:sz w:val="24"/>
                <w:lang w:val="zh-CN"/>
              </w:rPr>
              <w:t>年为</w:t>
            </w:r>
            <w:r>
              <w:rPr>
                <w:rFonts w:hint="default" w:ascii="Times New Roman" w:hAnsi="Times New Roman" w:eastAsia="Times New Roman"/>
                <w:color w:val="auto"/>
                <w:sz w:val="24"/>
                <w:lang w:val="en-US"/>
              </w:rPr>
              <w:t>10.5</w:t>
            </w:r>
          </w:p>
        </w:tc>
        <w:tc>
          <w:tcPr>
            <w:tcW w:w="2749" w:type="dxa"/>
            <w:gridSpan w:val="3"/>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w:t>
            </w:r>
            <w:r>
              <w:rPr>
                <w:rFonts w:hint="default" w:ascii="Times New Roman" w:hAnsi="Times New Roman" w:eastAsia="Times New Roman"/>
                <w:color w:val="auto"/>
                <w:sz w:val="24"/>
                <w:lang w:val="en-US"/>
              </w:rPr>
              <w:t>5</w:t>
            </w:r>
          </w:p>
        </w:tc>
        <w:tc>
          <w:tcPr>
            <w:tcW w:w="105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倡导性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9519" w:type="dxa"/>
            <w:gridSpan w:val="7"/>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color w:val="auto"/>
                <w:sz w:val="21"/>
                <w:lang w:val="zh-CN"/>
              </w:rPr>
              <w:t>说明：</w:t>
            </w:r>
            <w:r>
              <w:rPr>
                <w:rFonts w:hint="default" w:ascii="Times New Roman" w:hAnsi="Times New Roman" w:eastAsia="Times New Roman"/>
                <w:color w:val="auto"/>
                <w:sz w:val="21"/>
                <w:lang w:val="en-US"/>
              </w:rPr>
              <w:t>2013</w:t>
            </w:r>
            <w:r>
              <w:rPr>
                <w:rFonts w:hint="eastAsia" w:ascii="宋体" w:hAnsi="宋体"/>
                <w:color w:val="auto"/>
                <w:sz w:val="21"/>
                <w:lang w:val="zh-CN"/>
              </w:rPr>
              <w:t>年，世界卫生组织建议人均每日食盐摄入量不高于</w:t>
            </w:r>
            <w:r>
              <w:rPr>
                <w:rFonts w:hint="default" w:ascii="Times New Roman" w:hAnsi="Times New Roman" w:eastAsia="Times New Roman"/>
                <w:color w:val="auto"/>
                <w:sz w:val="21"/>
                <w:lang w:val="en-US"/>
              </w:rPr>
              <w:t>5g</w:t>
            </w:r>
            <w:r>
              <w:rPr>
                <w:rFonts w:hint="eastAsia" w:ascii="宋体" w:hAnsi="宋体"/>
                <w:color w:val="auto"/>
                <w:sz w:val="21"/>
                <w:lang w:val="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14</w:t>
            </w:r>
          </w:p>
        </w:tc>
        <w:tc>
          <w:tcPr>
            <w:tcW w:w="3458"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b/>
                <w:color w:val="auto"/>
                <w:sz w:val="24"/>
                <w:lang w:val="zh-CN"/>
              </w:rPr>
              <w:t>成人人均每日食用油摄入量（</w:t>
            </w:r>
            <w:r>
              <w:rPr>
                <w:rFonts w:hint="default" w:ascii="Times New Roman" w:hAnsi="Times New Roman" w:eastAsia="Times New Roman"/>
                <w:b/>
                <w:color w:val="auto"/>
                <w:sz w:val="24"/>
                <w:lang w:val="en-US"/>
              </w:rPr>
              <w:t>g</w:t>
            </w:r>
            <w:r>
              <w:rPr>
                <w:rFonts w:hint="eastAsia" w:ascii="宋体" w:hAnsi="宋体"/>
                <w:b/>
                <w:color w:val="auto"/>
                <w:sz w:val="24"/>
                <w:lang w:val="zh-CN"/>
              </w:rPr>
              <w:t>）</w:t>
            </w:r>
          </w:p>
        </w:tc>
        <w:tc>
          <w:tcPr>
            <w:tcW w:w="2262" w:type="dxa"/>
            <w:gridSpan w:val="2"/>
            <w:tcBorders>
              <w:top w:val="single" w:color="000000" w:sz="4" w:space="0"/>
              <w:left w:val="single" w:color="000000" w:sz="2"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2012</w:t>
            </w:r>
            <w:r>
              <w:rPr>
                <w:rFonts w:hint="eastAsia" w:ascii="宋体" w:hAnsi="宋体"/>
                <w:color w:val="auto"/>
                <w:sz w:val="24"/>
                <w:lang w:val="zh-CN"/>
              </w:rPr>
              <w:t>年为</w:t>
            </w:r>
            <w:r>
              <w:rPr>
                <w:rFonts w:hint="default" w:ascii="Times New Roman" w:hAnsi="Times New Roman" w:eastAsia="Times New Roman"/>
                <w:color w:val="auto"/>
                <w:sz w:val="24"/>
                <w:lang w:val="en-US"/>
              </w:rPr>
              <w:t>42.1</w:t>
            </w:r>
          </w:p>
        </w:tc>
        <w:tc>
          <w:tcPr>
            <w:tcW w:w="2749" w:type="dxa"/>
            <w:gridSpan w:val="3"/>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25</w:t>
            </w:r>
            <w:r>
              <w:rPr>
                <w:rFonts w:hint="eastAsia" w:ascii="宋体" w:hAnsi="宋体"/>
                <w:color w:val="auto"/>
                <w:sz w:val="24"/>
                <w:lang w:val="zh-CN"/>
              </w:rPr>
              <w:t>～</w:t>
            </w:r>
            <w:r>
              <w:rPr>
                <w:rFonts w:hint="default" w:ascii="Times New Roman" w:hAnsi="Times New Roman" w:eastAsia="Times New Roman"/>
                <w:color w:val="auto"/>
                <w:sz w:val="24"/>
                <w:lang w:val="en-US"/>
              </w:rPr>
              <w:t>30</w:t>
            </w:r>
          </w:p>
        </w:tc>
        <w:tc>
          <w:tcPr>
            <w:tcW w:w="105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倡导性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8" w:hRule="atLeast"/>
          <w:jc w:val="center"/>
        </w:trPr>
        <w:tc>
          <w:tcPr>
            <w:tcW w:w="695"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9519" w:type="dxa"/>
            <w:gridSpan w:val="7"/>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color w:val="auto"/>
                <w:sz w:val="21"/>
                <w:lang w:val="zh-CN"/>
              </w:rPr>
              <w:t>说明：监测人群的每日食用油总消耗量与监测人群总人数之比。《中国居民膳食指南》建议成人每日食用油摄入量不高于</w:t>
            </w:r>
            <w:r>
              <w:rPr>
                <w:rFonts w:hint="default" w:ascii="Times New Roman" w:hAnsi="Times New Roman" w:eastAsia="Times New Roman"/>
                <w:color w:val="auto"/>
                <w:sz w:val="21"/>
                <w:lang w:val="en-US"/>
              </w:rPr>
              <w:t>25</w:t>
            </w:r>
            <w:r>
              <w:rPr>
                <w:rFonts w:hint="eastAsia" w:ascii="宋体" w:hAnsi="宋体"/>
                <w:color w:val="auto"/>
                <w:sz w:val="21"/>
                <w:lang w:val="zh-CN"/>
              </w:rPr>
              <w:t>～</w:t>
            </w:r>
            <w:r>
              <w:rPr>
                <w:rFonts w:hint="default" w:ascii="Times New Roman" w:hAnsi="Times New Roman" w:eastAsia="Times New Roman"/>
                <w:color w:val="auto"/>
                <w:sz w:val="21"/>
                <w:lang w:val="en-US"/>
              </w:rPr>
              <w:t>30g</w:t>
            </w:r>
            <w:r>
              <w:rPr>
                <w:rFonts w:hint="eastAsia" w:ascii="宋体" w:hAnsi="宋体"/>
                <w:color w:val="auto"/>
                <w:sz w:val="21"/>
                <w:lang w:val="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15</w:t>
            </w:r>
          </w:p>
        </w:tc>
        <w:tc>
          <w:tcPr>
            <w:tcW w:w="3458"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b/>
                <w:color w:val="auto"/>
                <w:sz w:val="24"/>
                <w:lang w:val="zh-CN"/>
              </w:rPr>
              <w:t>人均每日添加糖摄入量（</w:t>
            </w:r>
            <w:r>
              <w:rPr>
                <w:rFonts w:hint="default" w:ascii="Times New Roman" w:hAnsi="Times New Roman" w:eastAsia="Times New Roman"/>
                <w:b/>
                <w:color w:val="auto"/>
                <w:sz w:val="24"/>
                <w:lang w:val="en-US"/>
              </w:rPr>
              <w:t>g</w:t>
            </w:r>
            <w:r>
              <w:rPr>
                <w:rFonts w:hint="eastAsia" w:ascii="宋体" w:hAnsi="宋体"/>
                <w:b/>
                <w:color w:val="auto"/>
                <w:sz w:val="24"/>
                <w:lang w:val="zh-CN"/>
              </w:rPr>
              <w:t>）</w:t>
            </w:r>
          </w:p>
        </w:tc>
        <w:tc>
          <w:tcPr>
            <w:tcW w:w="2262" w:type="dxa"/>
            <w:gridSpan w:val="2"/>
            <w:tcBorders>
              <w:top w:val="single" w:color="000000" w:sz="4" w:space="0"/>
              <w:left w:val="single" w:color="000000" w:sz="2"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30</w:t>
            </w:r>
          </w:p>
        </w:tc>
        <w:tc>
          <w:tcPr>
            <w:tcW w:w="2749" w:type="dxa"/>
            <w:gridSpan w:val="3"/>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w:t>
            </w:r>
            <w:r>
              <w:rPr>
                <w:rFonts w:hint="default" w:ascii="Times New Roman" w:hAnsi="Times New Roman" w:eastAsia="Times New Roman"/>
                <w:color w:val="auto"/>
                <w:sz w:val="24"/>
                <w:lang w:val="en-US"/>
              </w:rPr>
              <w:t>25</w:t>
            </w:r>
          </w:p>
        </w:tc>
        <w:tc>
          <w:tcPr>
            <w:tcW w:w="105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倡导性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6" w:hRule="atLeast"/>
          <w:jc w:val="center"/>
        </w:trPr>
        <w:tc>
          <w:tcPr>
            <w:tcW w:w="695"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9519" w:type="dxa"/>
            <w:gridSpan w:val="7"/>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rPr>
                <w:rFonts w:hint="default" w:ascii="Times New Roman" w:hAnsi="Times New Roman" w:eastAsia="Times New Roman"/>
                <w:color w:val="auto"/>
                <w:sz w:val="21"/>
                <w:lang w:val="en-US"/>
              </w:rPr>
            </w:pPr>
            <w:r>
              <w:rPr>
                <w:rFonts w:hint="eastAsia" w:ascii="宋体" w:hAnsi="宋体"/>
                <w:color w:val="auto"/>
                <w:sz w:val="21"/>
                <w:lang w:val="zh-CN"/>
              </w:rPr>
              <w:t>说明：添加糖指人工加入到食品中的、具有甜味特征的糖类，以及单独食用的糖，常见有蔗糖、果糖、葡萄糖等。</w:t>
            </w:r>
          </w:p>
          <w:p>
            <w:pPr>
              <w:spacing w:beforeLines="0" w:afterLines="0"/>
              <w:rPr>
                <w:rFonts w:hint="eastAsia" w:ascii="宋体" w:hAnsi="宋体"/>
                <w:color w:val="auto"/>
                <w:sz w:val="22"/>
                <w:lang w:val="zh-CN"/>
              </w:rPr>
            </w:pPr>
            <w:r>
              <w:rPr>
                <w:rFonts w:hint="eastAsia" w:ascii="宋体" w:hAnsi="宋体"/>
                <w:color w:val="auto"/>
                <w:sz w:val="21"/>
                <w:lang w:val="zh-CN"/>
              </w:rPr>
              <w:t>计算方法：监测人群的每日添加糖总消耗量</w:t>
            </w:r>
            <w:r>
              <w:rPr>
                <w:rFonts w:hint="default" w:ascii="Times New Roman" w:hAnsi="Times New Roman" w:eastAsia="Times New Roman"/>
                <w:color w:val="auto"/>
                <w:sz w:val="21"/>
                <w:lang w:val="en-US"/>
              </w:rPr>
              <w:t>/</w:t>
            </w:r>
            <w:r>
              <w:rPr>
                <w:rFonts w:hint="eastAsia" w:ascii="宋体" w:hAnsi="宋体"/>
                <w:color w:val="auto"/>
                <w:sz w:val="21"/>
                <w:lang w:val="zh-CN"/>
              </w:rPr>
              <w:t>监测人群总人数。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16</w:t>
            </w:r>
          </w:p>
        </w:tc>
        <w:tc>
          <w:tcPr>
            <w:tcW w:w="3458"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b/>
                <w:color w:val="auto"/>
                <w:sz w:val="24"/>
                <w:lang w:val="zh-CN"/>
              </w:rPr>
              <w:t>蔬菜和水果每日摄入量（</w:t>
            </w:r>
            <w:r>
              <w:rPr>
                <w:rFonts w:hint="default" w:ascii="Times New Roman" w:hAnsi="Times New Roman" w:eastAsia="Times New Roman"/>
                <w:b/>
                <w:color w:val="auto"/>
                <w:sz w:val="24"/>
                <w:lang w:val="en-US"/>
              </w:rPr>
              <w:t>g</w:t>
            </w:r>
            <w:r>
              <w:rPr>
                <w:rFonts w:hint="eastAsia" w:ascii="宋体" w:hAnsi="宋体"/>
                <w:b/>
                <w:color w:val="auto"/>
                <w:sz w:val="24"/>
                <w:lang w:val="zh-CN"/>
              </w:rPr>
              <w:t>）</w:t>
            </w:r>
          </w:p>
        </w:tc>
        <w:tc>
          <w:tcPr>
            <w:tcW w:w="2262" w:type="dxa"/>
            <w:gridSpan w:val="2"/>
            <w:tcBorders>
              <w:top w:val="single" w:color="000000" w:sz="4" w:space="0"/>
              <w:left w:val="single" w:color="000000" w:sz="2"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2012</w:t>
            </w:r>
            <w:r>
              <w:rPr>
                <w:rFonts w:hint="eastAsia" w:ascii="宋体" w:hAnsi="宋体"/>
                <w:color w:val="auto"/>
                <w:sz w:val="24"/>
                <w:lang w:val="zh-CN"/>
              </w:rPr>
              <w:t>年为</w:t>
            </w:r>
            <w:r>
              <w:rPr>
                <w:rFonts w:hint="default" w:ascii="Times New Roman" w:hAnsi="Times New Roman" w:eastAsia="Times New Roman"/>
                <w:color w:val="auto"/>
                <w:sz w:val="24"/>
                <w:lang w:val="en-US"/>
              </w:rPr>
              <w:t>296</w:t>
            </w:r>
          </w:p>
        </w:tc>
        <w:tc>
          <w:tcPr>
            <w:tcW w:w="2749" w:type="dxa"/>
            <w:gridSpan w:val="3"/>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w:t>
            </w:r>
            <w:r>
              <w:rPr>
                <w:rFonts w:hint="default" w:ascii="Times New Roman" w:hAnsi="Times New Roman" w:eastAsia="Times New Roman"/>
                <w:color w:val="auto"/>
                <w:sz w:val="24"/>
                <w:lang w:val="en-US"/>
              </w:rPr>
              <w:t>500</w:t>
            </w:r>
          </w:p>
        </w:tc>
        <w:tc>
          <w:tcPr>
            <w:tcW w:w="105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倡导性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9519" w:type="dxa"/>
            <w:gridSpan w:val="7"/>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color w:val="auto"/>
                <w:sz w:val="21"/>
                <w:lang w:val="zh-CN"/>
              </w:rPr>
              <w:t>说明：《中国居民膳食指南》建议餐餐有蔬菜，保证每天摄入</w:t>
            </w:r>
            <w:r>
              <w:rPr>
                <w:rFonts w:hint="default" w:ascii="Times New Roman" w:hAnsi="Times New Roman" w:eastAsia="Times New Roman"/>
                <w:color w:val="auto"/>
                <w:sz w:val="21"/>
                <w:lang w:val="en-US"/>
              </w:rPr>
              <w:t>300</w:t>
            </w:r>
            <w:r>
              <w:rPr>
                <w:rFonts w:hint="eastAsia" w:ascii="宋体" w:hAnsi="宋体"/>
                <w:color w:val="auto"/>
                <w:sz w:val="21"/>
                <w:lang w:val="zh-CN"/>
              </w:rPr>
              <w:t>～</w:t>
            </w:r>
            <w:r>
              <w:rPr>
                <w:rFonts w:hint="default" w:ascii="Times New Roman" w:hAnsi="Times New Roman" w:eastAsia="Times New Roman"/>
                <w:color w:val="auto"/>
                <w:sz w:val="21"/>
                <w:lang w:val="en-US"/>
              </w:rPr>
              <w:t>500g</w:t>
            </w:r>
            <w:r>
              <w:rPr>
                <w:rFonts w:hint="eastAsia" w:ascii="宋体" w:hAnsi="宋体"/>
                <w:color w:val="auto"/>
                <w:sz w:val="21"/>
                <w:lang w:val="zh-CN"/>
              </w:rPr>
              <w:t>蔬菜，深色蔬菜应占</w:t>
            </w:r>
            <w:r>
              <w:rPr>
                <w:rFonts w:hint="default" w:ascii="Times New Roman" w:hAnsi="Times New Roman" w:eastAsia="Times New Roman"/>
                <w:color w:val="auto"/>
                <w:sz w:val="21"/>
                <w:lang w:val="en-US"/>
              </w:rPr>
              <w:t>1/2</w:t>
            </w:r>
            <w:r>
              <w:rPr>
                <w:rFonts w:hint="eastAsia" w:ascii="宋体" w:hAnsi="宋体"/>
                <w:color w:val="auto"/>
                <w:sz w:val="21"/>
                <w:lang w:val="zh-CN"/>
              </w:rPr>
              <w:t>；天天吃水果，保证每天摄入</w:t>
            </w:r>
            <w:r>
              <w:rPr>
                <w:rFonts w:hint="default" w:ascii="Times New Roman" w:hAnsi="Times New Roman" w:eastAsia="Times New Roman"/>
                <w:color w:val="auto"/>
                <w:sz w:val="21"/>
                <w:lang w:val="en-US"/>
              </w:rPr>
              <w:t>200</w:t>
            </w:r>
            <w:r>
              <w:rPr>
                <w:rFonts w:hint="eastAsia" w:ascii="宋体" w:hAnsi="宋体"/>
                <w:color w:val="auto"/>
                <w:sz w:val="21"/>
                <w:lang w:val="zh-CN"/>
              </w:rPr>
              <w:t>～</w:t>
            </w:r>
            <w:r>
              <w:rPr>
                <w:rFonts w:hint="default" w:ascii="Times New Roman" w:hAnsi="Times New Roman" w:eastAsia="Times New Roman"/>
                <w:color w:val="auto"/>
                <w:sz w:val="21"/>
                <w:lang w:val="en-US"/>
              </w:rPr>
              <w:t>350g</w:t>
            </w:r>
            <w:r>
              <w:rPr>
                <w:rFonts w:hint="eastAsia" w:ascii="宋体" w:hAnsi="宋体"/>
                <w:color w:val="auto"/>
                <w:sz w:val="21"/>
                <w:lang w:val="zh-CN"/>
              </w:rPr>
              <w:t>新鲜水果，果汁不能代替鲜果。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17</w:t>
            </w:r>
          </w:p>
        </w:tc>
        <w:tc>
          <w:tcPr>
            <w:tcW w:w="3458"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b/>
                <w:color w:val="auto"/>
                <w:sz w:val="24"/>
                <w:lang w:val="zh-CN"/>
              </w:rPr>
              <w:t>每日摄入食物种类（种）</w:t>
            </w:r>
          </w:p>
        </w:tc>
        <w:tc>
          <w:tcPr>
            <w:tcW w:w="2262" w:type="dxa"/>
            <w:gridSpan w:val="2"/>
            <w:tcBorders>
              <w:top w:val="single" w:color="000000" w:sz="4" w:space="0"/>
              <w:left w:val="single" w:color="000000" w:sz="2"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宋体" w:hAnsi="宋体"/>
                <w:color w:val="auto"/>
                <w:sz w:val="24"/>
                <w:lang w:val="zh-CN"/>
              </w:rPr>
              <w:t>—</w:t>
            </w:r>
          </w:p>
        </w:tc>
        <w:tc>
          <w:tcPr>
            <w:tcW w:w="2749" w:type="dxa"/>
            <w:gridSpan w:val="3"/>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w:t>
            </w:r>
            <w:r>
              <w:rPr>
                <w:rFonts w:hint="default" w:ascii="Times New Roman" w:hAnsi="Times New Roman" w:eastAsia="Times New Roman"/>
                <w:color w:val="auto"/>
                <w:sz w:val="24"/>
                <w:lang w:val="en-US"/>
              </w:rPr>
              <w:t>12</w:t>
            </w:r>
          </w:p>
        </w:tc>
        <w:tc>
          <w:tcPr>
            <w:tcW w:w="105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倡导性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9519" w:type="dxa"/>
            <w:gridSpan w:val="7"/>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color w:val="auto"/>
                <w:sz w:val="21"/>
                <w:lang w:val="zh-CN"/>
              </w:rPr>
              <w:t>说明：《中国居民膳食指南》建议平均每天摄入</w:t>
            </w:r>
            <w:r>
              <w:rPr>
                <w:rFonts w:hint="default" w:ascii="Times New Roman" w:hAnsi="Times New Roman" w:eastAsia="Times New Roman"/>
                <w:color w:val="auto"/>
                <w:sz w:val="21"/>
                <w:lang w:val="en-US"/>
              </w:rPr>
              <w:t>12</w:t>
            </w:r>
            <w:r>
              <w:rPr>
                <w:rFonts w:hint="eastAsia" w:ascii="宋体" w:hAnsi="宋体"/>
                <w:color w:val="auto"/>
                <w:sz w:val="21"/>
                <w:lang w:val="zh-CN"/>
              </w:rPr>
              <w:t>种及以上食物，每周</w:t>
            </w:r>
            <w:r>
              <w:rPr>
                <w:rFonts w:hint="default" w:ascii="Times New Roman" w:hAnsi="Times New Roman" w:eastAsia="Times New Roman"/>
                <w:color w:val="auto"/>
                <w:sz w:val="21"/>
                <w:lang w:val="en-US"/>
              </w:rPr>
              <w:t>25</w:t>
            </w:r>
            <w:r>
              <w:rPr>
                <w:rFonts w:hint="eastAsia" w:ascii="宋体" w:hAnsi="宋体"/>
                <w:color w:val="auto"/>
                <w:sz w:val="21"/>
                <w:lang w:val="zh-CN"/>
              </w:rPr>
              <w:t>种以上。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18</w:t>
            </w:r>
          </w:p>
        </w:tc>
        <w:tc>
          <w:tcPr>
            <w:tcW w:w="3458"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b/>
                <w:color w:val="auto"/>
                <w:sz w:val="24"/>
                <w:lang w:val="zh-CN"/>
              </w:rPr>
              <w:t>成年人维持健康体重</w:t>
            </w:r>
          </w:p>
        </w:tc>
        <w:tc>
          <w:tcPr>
            <w:tcW w:w="2262"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2012</w:t>
            </w:r>
            <w:r>
              <w:rPr>
                <w:rFonts w:hint="eastAsia" w:ascii="宋体" w:hAnsi="宋体"/>
                <w:color w:val="auto"/>
                <w:sz w:val="24"/>
                <w:lang w:val="zh-CN"/>
              </w:rPr>
              <w:t>年</w:t>
            </w:r>
            <w:r>
              <w:rPr>
                <w:rFonts w:hint="default" w:ascii="Times New Roman" w:hAnsi="Times New Roman" w:eastAsia="Times New Roman"/>
                <w:color w:val="auto"/>
                <w:sz w:val="24"/>
                <w:lang w:val="en-US"/>
              </w:rPr>
              <w:t>BMI</w:t>
            </w:r>
            <w:r>
              <w:rPr>
                <w:rFonts w:hint="eastAsia" w:ascii="宋体" w:hAnsi="宋体"/>
                <w:color w:val="auto"/>
                <w:sz w:val="24"/>
                <w:lang w:val="zh-CN"/>
              </w:rPr>
              <w:t>在正常范围内的比例为</w:t>
            </w:r>
            <w:r>
              <w:rPr>
                <w:rFonts w:hint="default" w:ascii="Times New Roman" w:hAnsi="Times New Roman" w:eastAsia="Times New Roman"/>
                <w:color w:val="auto"/>
                <w:sz w:val="24"/>
                <w:lang w:val="en-US"/>
              </w:rPr>
              <w:t>52%</w:t>
            </w:r>
          </w:p>
        </w:tc>
        <w:tc>
          <w:tcPr>
            <w:tcW w:w="2749" w:type="dxa"/>
            <w:gridSpan w:val="3"/>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18.5</w:t>
            </w:r>
            <w:r>
              <w:rPr>
                <w:rFonts w:hint="eastAsia" w:ascii="宋体" w:hAnsi="宋体"/>
                <w:color w:val="auto"/>
                <w:sz w:val="24"/>
                <w:lang w:val="zh-CN"/>
              </w:rPr>
              <w:t>≤</w:t>
            </w:r>
            <w:r>
              <w:rPr>
                <w:rFonts w:hint="default" w:ascii="Times New Roman" w:hAnsi="Times New Roman" w:eastAsia="Times New Roman"/>
                <w:color w:val="auto"/>
                <w:sz w:val="24"/>
                <w:lang w:val="en-US"/>
              </w:rPr>
              <w:t>BMI&lt;24</w:t>
            </w:r>
          </w:p>
        </w:tc>
        <w:tc>
          <w:tcPr>
            <w:tcW w:w="105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倡导性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9519" w:type="dxa"/>
            <w:gridSpan w:val="7"/>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color w:val="auto"/>
                <w:sz w:val="21"/>
                <w:lang w:val="zh-CN"/>
              </w:rPr>
              <w:t>说明：体重指数（</w:t>
            </w:r>
            <w:r>
              <w:rPr>
                <w:rFonts w:hint="default" w:ascii="Times New Roman" w:hAnsi="Times New Roman" w:eastAsia="Times New Roman"/>
                <w:color w:val="auto"/>
                <w:sz w:val="21"/>
                <w:lang w:val="en-US"/>
              </w:rPr>
              <w:t>BMI</w:t>
            </w:r>
            <w:r>
              <w:rPr>
                <w:rFonts w:hint="eastAsia" w:ascii="宋体" w:hAnsi="宋体"/>
                <w:color w:val="auto"/>
                <w:sz w:val="21"/>
                <w:lang w:val="zh-CN"/>
              </w:rPr>
              <w:t>），</w:t>
            </w:r>
            <w:r>
              <w:rPr>
                <w:rFonts w:hint="default" w:ascii="Times New Roman" w:hAnsi="Times New Roman" w:eastAsia="Times New Roman"/>
                <w:color w:val="auto"/>
                <w:sz w:val="21"/>
                <w:lang w:val="en-US"/>
              </w:rPr>
              <w:t>2012</w:t>
            </w:r>
            <w:r>
              <w:rPr>
                <w:rFonts w:hint="eastAsia" w:ascii="宋体" w:hAnsi="宋体"/>
                <w:color w:val="auto"/>
                <w:sz w:val="21"/>
                <w:lang w:val="zh-CN"/>
              </w:rPr>
              <w:t>年成人健康体重指数在正常范围内的比例为</w:t>
            </w:r>
            <w:r>
              <w:rPr>
                <w:rFonts w:hint="default" w:ascii="Times New Roman" w:hAnsi="Times New Roman" w:eastAsia="Times New Roman"/>
                <w:color w:val="auto"/>
                <w:sz w:val="21"/>
                <w:lang w:val="en-US"/>
              </w:rPr>
              <w:t>52%</w:t>
            </w:r>
            <w:r>
              <w:rPr>
                <w:rFonts w:hint="eastAsia" w:ascii="宋体" w:hAnsi="宋体"/>
                <w:color w:val="auto"/>
                <w:sz w:val="21"/>
                <w:lang w:val="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10212" w:type="dxa"/>
            <w:gridSpan w:val="8"/>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color w:val="auto"/>
                <w:sz w:val="24"/>
                <w:lang w:val="zh-CN"/>
              </w:rPr>
              <w:t>政府工作指标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19</w:t>
            </w:r>
          </w:p>
        </w:tc>
        <w:tc>
          <w:tcPr>
            <w:tcW w:w="3458"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b/>
                <w:color w:val="auto"/>
                <w:sz w:val="24"/>
                <w:lang w:val="zh-CN"/>
              </w:rPr>
              <w:t>每万人营养指导员（名）</w:t>
            </w:r>
          </w:p>
        </w:tc>
        <w:tc>
          <w:tcPr>
            <w:tcW w:w="2262"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宋体" w:hAnsi="宋体"/>
                <w:color w:val="auto"/>
                <w:sz w:val="24"/>
                <w:lang w:val="zh-CN"/>
              </w:rPr>
              <w:t>—</w:t>
            </w:r>
          </w:p>
        </w:tc>
        <w:tc>
          <w:tcPr>
            <w:tcW w:w="2749" w:type="dxa"/>
            <w:gridSpan w:val="3"/>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1</w:t>
            </w:r>
          </w:p>
        </w:tc>
        <w:tc>
          <w:tcPr>
            <w:tcW w:w="105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9"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9519" w:type="dxa"/>
            <w:gridSpan w:val="7"/>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color w:val="auto"/>
                <w:sz w:val="21"/>
                <w:lang w:val="zh-CN"/>
              </w:rPr>
              <w:t>说明：营养指导员是指可以为居民提供合理膳食、均衡营养指导的人员。合理膳食、均衡营养可以有效减少相关慢性病的发生，还可有效促进患者康复。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default" w:ascii="Times New Roman" w:hAnsi="Times New Roman" w:eastAsia="Times New Roman"/>
                <w:color w:val="auto"/>
                <w:sz w:val="32"/>
                <w:lang w:val="en-US"/>
              </w:rPr>
            </w:pPr>
          </w:p>
          <w:p>
            <w:pPr>
              <w:spacing w:beforeLines="0" w:afterLines="0"/>
              <w:jc w:val="center"/>
              <w:rPr>
                <w:rFonts w:hint="default" w:ascii="Times New Roman" w:hAnsi="Times New Roman" w:eastAsia="Times New Roman"/>
                <w:color w:val="auto"/>
                <w:sz w:val="32"/>
                <w:lang w:val="en-US"/>
              </w:rPr>
            </w:pPr>
          </w:p>
          <w:p>
            <w:pPr>
              <w:spacing w:beforeLines="0" w:afterLines="0"/>
              <w:jc w:val="center"/>
              <w:rPr>
                <w:rFonts w:hint="default" w:ascii="Times New Roman" w:hAnsi="Times New Roman" w:eastAsia="Times New Roman"/>
                <w:color w:val="auto"/>
                <w:sz w:val="32"/>
                <w:lang w:val="en-US"/>
              </w:rPr>
            </w:pPr>
          </w:p>
          <w:p>
            <w:pPr>
              <w:spacing w:beforeLines="0" w:afterLines="0"/>
              <w:jc w:val="center"/>
              <w:rPr>
                <w:rFonts w:hint="default" w:ascii="Times New Roman" w:hAnsi="Times New Roman" w:eastAsia="Times New Roman"/>
                <w:color w:val="auto"/>
                <w:sz w:val="32"/>
                <w:lang w:val="en-US"/>
              </w:rPr>
            </w:pPr>
          </w:p>
          <w:p>
            <w:pPr>
              <w:spacing w:beforeLines="0" w:afterLines="0"/>
              <w:jc w:val="center"/>
              <w:rPr>
                <w:rFonts w:hint="default" w:ascii="Times New Roman" w:hAnsi="Times New Roman" w:eastAsia="Times New Roman"/>
                <w:color w:val="auto"/>
                <w:sz w:val="32"/>
                <w:lang w:val="en-US"/>
              </w:rPr>
            </w:pPr>
          </w:p>
          <w:p>
            <w:pPr>
              <w:spacing w:beforeLines="0" w:afterLines="0"/>
              <w:jc w:val="center"/>
              <w:rPr>
                <w:rFonts w:hint="default" w:ascii="Times New Roman" w:hAnsi="Times New Roman" w:eastAsia="Times New Roman"/>
                <w:color w:val="auto"/>
                <w:sz w:val="32"/>
                <w:lang w:val="en-US"/>
              </w:rPr>
            </w:pPr>
          </w:p>
          <w:p>
            <w:pPr>
              <w:spacing w:beforeLines="0" w:afterLines="0"/>
              <w:jc w:val="center"/>
              <w:rPr>
                <w:rFonts w:hint="default" w:ascii="Times New Roman" w:hAnsi="Times New Roman" w:eastAsia="Times New Roman"/>
                <w:color w:val="auto"/>
                <w:sz w:val="32"/>
                <w:lang w:val="en-US"/>
              </w:rPr>
            </w:pPr>
          </w:p>
          <w:p>
            <w:pPr>
              <w:spacing w:beforeLines="0" w:afterLines="0"/>
              <w:jc w:val="center"/>
              <w:rPr>
                <w:rFonts w:hint="default" w:ascii="Times New Roman" w:hAnsi="Times New Roman" w:eastAsia="Times New Roman"/>
                <w:color w:val="auto"/>
                <w:sz w:val="32"/>
                <w:lang w:val="en-US"/>
              </w:rPr>
            </w:pPr>
          </w:p>
          <w:p>
            <w:pPr>
              <w:spacing w:beforeLines="0" w:afterLines="0"/>
              <w:jc w:val="center"/>
              <w:rPr>
                <w:rFonts w:hint="default" w:ascii="Times New Roman" w:hAnsi="Times New Roman" w:eastAsia="Times New Roman"/>
                <w:color w:val="auto"/>
                <w:sz w:val="21"/>
                <w:lang w:val="en-US"/>
              </w:rPr>
            </w:pPr>
            <w:r>
              <w:rPr>
                <w:rFonts w:hint="eastAsia" w:ascii="宋体" w:hAnsi="宋体"/>
                <w:color w:val="auto"/>
                <w:sz w:val="21"/>
                <w:lang w:val="zh-CN"/>
              </w:rPr>
              <w:t>（三）</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全</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民</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健</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身</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行</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动</w:t>
            </w:r>
          </w:p>
          <w:p>
            <w:pPr>
              <w:spacing w:beforeLines="0" w:afterLines="0"/>
              <w:jc w:val="center"/>
              <w:rPr>
                <w:rFonts w:hint="default" w:ascii="Times New Roman" w:hAnsi="Times New Roman" w:eastAsia="Times New Roman"/>
                <w:color w:val="auto"/>
                <w:sz w:val="21"/>
                <w:lang w:val="en-US"/>
              </w:rPr>
            </w:pPr>
          </w:p>
          <w:p>
            <w:pPr>
              <w:spacing w:beforeLines="0" w:afterLines="0"/>
              <w:jc w:val="center"/>
              <w:rPr>
                <w:rFonts w:hint="default" w:ascii="Times New Roman" w:hAnsi="Times New Roman" w:eastAsia="Times New Roman"/>
                <w:color w:val="auto"/>
                <w:sz w:val="21"/>
                <w:lang w:val="en-US"/>
              </w:rPr>
            </w:pPr>
          </w:p>
          <w:p>
            <w:pPr>
              <w:spacing w:beforeLines="0" w:afterLines="0"/>
              <w:jc w:val="center"/>
              <w:rPr>
                <w:rFonts w:hint="default" w:ascii="Times New Roman" w:hAnsi="Times New Roman" w:eastAsia="Times New Roman"/>
                <w:color w:val="auto"/>
                <w:sz w:val="21"/>
                <w:lang w:val="en-US"/>
              </w:rPr>
            </w:pPr>
          </w:p>
          <w:p>
            <w:pPr>
              <w:spacing w:beforeLines="0" w:afterLines="0"/>
              <w:jc w:val="center"/>
              <w:rPr>
                <w:rFonts w:hint="default" w:ascii="Times New Roman" w:hAnsi="Times New Roman" w:eastAsia="Times New Roman"/>
                <w:color w:val="auto"/>
                <w:sz w:val="32"/>
                <w:lang w:val="en-US"/>
              </w:rPr>
            </w:pPr>
          </w:p>
          <w:p>
            <w:pPr>
              <w:spacing w:beforeLines="0" w:afterLines="0"/>
              <w:jc w:val="center"/>
              <w:rPr>
                <w:rFonts w:hint="default" w:ascii="Times New Roman" w:hAnsi="Times New Roman" w:eastAsia="Times New Roman"/>
                <w:color w:val="auto"/>
                <w:sz w:val="32"/>
                <w:lang w:val="en-US"/>
              </w:rPr>
            </w:pPr>
          </w:p>
          <w:p>
            <w:pPr>
              <w:spacing w:beforeLines="0" w:afterLines="0"/>
              <w:jc w:val="center"/>
              <w:rPr>
                <w:rFonts w:hint="default" w:ascii="Times New Roman" w:hAnsi="Times New Roman" w:eastAsia="Times New Roman"/>
                <w:color w:val="auto"/>
                <w:sz w:val="32"/>
                <w:lang w:val="en-US"/>
              </w:rPr>
            </w:pPr>
          </w:p>
          <w:p>
            <w:pPr>
              <w:spacing w:beforeLines="0" w:afterLines="0"/>
              <w:jc w:val="center"/>
              <w:rPr>
                <w:rFonts w:hint="default" w:ascii="Times New Roman" w:hAnsi="Times New Roman" w:eastAsia="Times New Roman"/>
                <w:color w:val="auto"/>
                <w:sz w:val="32"/>
                <w:lang w:val="en-US"/>
              </w:rPr>
            </w:pPr>
          </w:p>
          <w:p>
            <w:pPr>
              <w:spacing w:beforeLines="0" w:afterLines="0"/>
              <w:jc w:val="center"/>
              <w:rPr>
                <w:rFonts w:hint="default" w:ascii="Times New Roman" w:hAnsi="Times New Roman" w:eastAsia="Times New Roman"/>
                <w:color w:val="auto"/>
                <w:sz w:val="32"/>
                <w:lang w:val="en-US"/>
              </w:rPr>
            </w:pPr>
          </w:p>
          <w:p>
            <w:pPr>
              <w:spacing w:beforeLines="0" w:afterLines="0"/>
              <w:jc w:val="center"/>
              <w:rPr>
                <w:rFonts w:hint="default" w:ascii="Times New Roman" w:hAnsi="Times New Roman" w:eastAsia="Times New Roman"/>
                <w:color w:val="auto"/>
                <w:sz w:val="32"/>
                <w:lang w:val="en-US"/>
              </w:rPr>
            </w:pPr>
          </w:p>
          <w:p>
            <w:pPr>
              <w:spacing w:beforeLines="0" w:afterLines="0"/>
              <w:jc w:val="center"/>
              <w:rPr>
                <w:rFonts w:hint="default" w:ascii="Times New Roman" w:hAnsi="Times New Roman" w:eastAsia="Times New Roman"/>
                <w:color w:val="auto"/>
                <w:sz w:val="32"/>
                <w:lang w:val="en-US"/>
              </w:rPr>
            </w:pPr>
          </w:p>
          <w:p>
            <w:pPr>
              <w:spacing w:beforeLines="0" w:afterLines="0"/>
              <w:jc w:val="center"/>
              <w:rPr>
                <w:rFonts w:hint="default" w:ascii="Times New Roman" w:hAnsi="Times New Roman" w:eastAsia="Times New Roman"/>
                <w:color w:val="auto"/>
                <w:sz w:val="32"/>
                <w:lang w:val="en-US"/>
              </w:rPr>
            </w:pPr>
          </w:p>
          <w:p>
            <w:pPr>
              <w:spacing w:beforeLines="0" w:afterLines="0"/>
              <w:jc w:val="center"/>
              <w:rPr>
                <w:rFonts w:hint="default" w:ascii="Times New Roman" w:hAnsi="Times New Roman" w:eastAsia="Times New Roman"/>
                <w:color w:val="auto"/>
                <w:sz w:val="32"/>
                <w:lang w:val="en-US"/>
              </w:rPr>
            </w:pPr>
          </w:p>
          <w:p>
            <w:pPr>
              <w:spacing w:beforeLines="0" w:afterLines="0"/>
              <w:jc w:val="center"/>
              <w:rPr>
                <w:rFonts w:hint="default" w:ascii="Times New Roman" w:hAnsi="Times New Roman" w:eastAsia="Times New Roman"/>
                <w:color w:val="auto"/>
                <w:sz w:val="32"/>
                <w:lang w:val="en-US"/>
              </w:rPr>
            </w:pPr>
          </w:p>
          <w:p>
            <w:pPr>
              <w:spacing w:beforeLines="0" w:afterLines="0"/>
              <w:jc w:val="center"/>
              <w:rPr>
                <w:rFonts w:hint="default" w:ascii="Times New Roman" w:hAnsi="Times New Roman" w:eastAsia="Times New Roman"/>
                <w:color w:val="auto"/>
                <w:sz w:val="32"/>
                <w:lang w:val="en-US"/>
              </w:rPr>
            </w:pPr>
          </w:p>
          <w:p>
            <w:pPr>
              <w:spacing w:beforeLines="0" w:afterLines="0"/>
              <w:jc w:val="center"/>
              <w:rPr>
                <w:rFonts w:hint="eastAsia" w:ascii="宋体" w:hAnsi="宋体"/>
                <w:color w:val="auto"/>
                <w:sz w:val="22"/>
                <w:lang w:val="zh-CN"/>
              </w:rPr>
            </w:pPr>
          </w:p>
        </w:tc>
        <w:tc>
          <w:tcPr>
            <w:tcW w:w="10212" w:type="dxa"/>
            <w:gridSpan w:val="8"/>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color w:val="auto"/>
                <w:sz w:val="24"/>
                <w:lang w:val="zh-CN"/>
              </w:rPr>
              <w:t>结果性指标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20</w:t>
            </w:r>
          </w:p>
        </w:tc>
        <w:tc>
          <w:tcPr>
            <w:tcW w:w="3458"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b/>
                <w:color w:val="auto"/>
                <w:spacing w:val="-10"/>
                <w:sz w:val="24"/>
                <w:lang w:val="zh-CN"/>
              </w:rPr>
              <w:t>城乡居民达到《国民体质测定标准》合格以上的人数比例（</w:t>
            </w:r>
            <w:r>
              <w:rPr>
                <w:rFonts w:hint="default" w:ascii="Times New Roman" w:hAnsi="Times New Roman" w:eastAsia="Times New Roman"/>
                <w:b/>
                <w:color w:val="auto"/>
                <w:spacing w:val="-10"/>
                <w:sz w:val="24"/>
                <w:lang w:val="en-US"/>
              </w:rPr>
              <w:t>%</w:t>
            </w:r>
            <w:r>
              <w:rPr>
                <w:rFonts w:hint="eastAsia" w:ascii="宋体" w:hAnsi="宋体"/>
                <w:b/>
                <w:color w:val="auto"/>
                <w:spacing w:val="-10"/>
                <w:sz w:val="24"/>
                <w:lang w:val="zh-CN"/>
              </w:rPr>
              <w:t>）</w:t>
            </w:r>
          </w:p>
        </w:tc>
        <w:tc>
          <w:tcPr>
            <w:tcW w:w="2262"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2014</w:t>
            </w:r>
            <w:r>
              <w:rPr>
                <w:rFonts w:hint="eastAsia" w:ascii="宋体" w:hAnsi="宋体"/>
                <w:color w:val="auto"/>
                <w:sz w:val="24"/>
                <w:lang w:val="zh-CN"/>
              </w:rPr>
              <w:t>年为</w:t>
            </w:r>
            <w:r>
              <w:rPr>
                <w:rFonts w:hint="default" w:ascii="Times New Roman" w:hAnsi="Times New Roman" w:eastAsia="Times New Roman"/>
                <w:color w:val="auto"/>
                <w:sz w:val="24"/>
                <w:lang w:val="en-US"/>
              </w:rPr>
              <w:t>89.6</w:t>
            </w:r>
          </w:p>
        </w:tc>
        <w:tc>
          <w:tcPr>
            <w:tcW w:w="851"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w:t>
            </w:r>
            <w:r>
              <w:rPr>
                <w:rFonts w:hint="default" w:ascii="Times New Roman" w:hAnsi="Times New Roman" w:eastAsia="Times New Roman"/>
                <w:color w:val="auto"/>
                <w:sz w:val="24"/>
                <w:lang w:val="en-US"/>
              </w:rPr>
              <w:t>90.86</w:t>
            </w:r>
          </w:p>
        </w:tc>
        <w:tc>
          <w:tcPr>
            <w:tcW w:w="1898"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w:t>
            </w:r>
            <w:r>
              <w:rPr>
                <w:rFonts w:hint="default" w:ascii="Times New Roman" w:hAnsi="Times New Roman" w:eastAsia="Times New Roman"/>
                <w:color w:val="auto"/>
                <w:sz w:val="24"/>
                <w:lang w:val="en-US"/>
              </w:rPr>
              <w:t>92.17</w:t>
            </w:r>
          </w:p>
        </w:tc>
        <w:tc>
          <w:tcPr>
            <w:tcW w:w="105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9519" w:type="dxa"/>
            <w:gridSpan w:val="7"/>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color w:val="auto"/>
                <w:sz w:val="21"/>
                <w:lang w:val="zh-CN"/>
              </w:rPr>
              <w:t>说明：《国民体质测定标准》由国家体育总局等</w:t>
            </w:r>
            <w:r>
              <w:rPr>
                <w:rFonts w:hint="default" w:ascii="Times New Roman" w:hAnsi="Times New Roman" w:eastAsia="Times New Roman"/>
                <w:color w:val="auto"/>
                <w:sz w:val="21"/>
                <w:lang w:val="en-US"/>
              </w:rPr>
              <w:t>11</w:t>
            </w:r>
            <w:r>
              <w:rPr>
                <w:rFonts w:hint="eastAsia" w:ascii="宋体" w:hAnsi="宋体"/>
                <w:color w:val="auto"/>
                <w:sz w:val="21"/>
                <w:lang w:val="zh-CN"/>
              </w:rPr>
              <w:t>个部门在</w:t>
            </w:r>
            <w:r>
              <w:rPr>
                <w:rFonts w:hint="default" w:ascii="Times New Roman" w:hAnsi="Times New Roman" w:eastAsia="Times New Roman"/>
                <w:color w:val="auto"/>
                <w:sz w:val="21"/>
                <w:lang w:val="en-US"/>
              </w:rPr>
              <w:t>2003</w:t>
            </w:r>
            <w:r>
              <w:rPr>
                <w:rFonts w:hint="eastAsia" w:ascii="宋体" w:hAnsi="宋体"/>
                <w:color w:val="auto"/>
                <w:sz w:val="21"/>
                <w:lang w:val="zh-CN"/>
              </w:rPr>
              <w:t>年发布。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21</w:t>
            </w:r>
          </w:p>
        </w:tc>
        <w:tc>
          <w:tcPr>
            <w:tcW w:w="3458"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b/>
                <w:color w:val="auto"/>
                <w:sz w:val="24"/>
                <w:lang w:val="zh-CN"/>
              </w:rPr>
              <w:t>经常参加体育锻炼人数比例（</w:t>
            </w:r>
            <w:r>
              <w:rPr>
                <w:rFonts w:hint="default" w:ascii="Times New Roman" w:hAnsi="Times New Roman" w:eastAsia="Times New Roman"/>
                <w:b/>
                <w:color w:val="auto"/>
                <w:sz w:val="24"/>
                <w:lang w:val="en-US"/>
              </w:rPr>
              <w:t>%</w:t>
            </w:r>
            <w:r>
              <w:rPr>
                <w:rFonts w:hint="eastAsia" w:ascii="宋体" w:hAnsi="宋体"/>
                <w:b/>
                <w:color w:val="auto"/>
                <w:sz w:val="24"/>
                <w:lang w:val="zh-CN"/>
              </w:rPr>
              <w:t>）</w:t>
            </w:r>
          </w:p>
        </w:tc>
        <w:tc>
          <w:tcPr>
            <w:tcW w:w="2262"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2014</w:t>
            </w:r>
            <w:r>
              <w:rPr>
                <w:rFonts w:hint="eastAsia" w:ascii="宋体" w:hAnsi="宋体"/>
                <w:color w:val="auto"/>
                <w:sz w:val="24"/>
                <w:lang w:val="zh-CN"/>
              </w:rPr>
              <w:t>年为</w:t>
            </w:r>
            <w:r>
              <w:rPr>
                <w:rFonts w:hint="default" w:ascii="Times New Roman" w:hAnsi="Times New Roman" w:eastAsia="Times New Roman"/>
                <w:color w:val="auto"/>
                <w:sz w:val="24"/>
                <w:lang w:val="en-US"/>
              </w:rPr>
              <w:t>33.9</w:t>
            </w:r>
          </w:p>
        </w:tc>
        <w:tc>
          <w:tcPr>
            <w:tcW w:w="851"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w:t>
            </w:r>
            <w:r>
              <w:rPr>
                <w:rFonts w:hint="default" w:ascii="Times New Roman" w:hAnsi="Times New Roman" w:eastAsia="Times New Roman"/>
                <w:color w:val="auto"/>
                <w:sz w:val="24"/>
                <w:lang w:val="en-US"/>
              </w:rPr>
              <w:t>37</w:t>
            </w:r>
          </w:p>
        </w:tc>
        <w:tc>
          <w:tcPr>
            <w:tcW w:w="1898"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w:t>
            </w:r>
            <w:r>
              <w:rPr>
                <w:rFonts w:hint="default" w:ascii="Times New Roman" w:hAnsi="Times New Roman" w:eastAsia="Times New Roman"/>
                <w:color w:val="auto"/>
                <w:sz w:val="24"/>
                <w:lang w:val="en-US"/>
              </w:rPr>
              <w:t>40</w:t>
            </w:r>
          </w:p>
        </w:tc>
        <w:tc>
          <w:tcPr>
            <w:tcW w:w="105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9519" w:type="dxa"/>
            <w:gridSpan w:val="7"/>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color w:val="auto"/>
                <w:spacing w:val="-8"/>
                <w:sz w:val="21"/>
                <w:lang w:val="zh-CN"/>
              </w:rPr>
              <w:t>说明：经常参加体育锻炼是指每周参加体育锻炼频度</w:t>
            </w:r>
            <w:r>
              <w:rPr>
                <w:rFonts w:hint="default" w:ascii="Times New Roman" w:hAnsi="Times New Roman" w:eastAsia="Times New Roman"/>
                <w:color w:val="auto"/>
                <w:spacing w:val="-8"/>
                <w:sz w:val="21"/>
                <w:lang w:val="en-US"/>
              </w:rPr>
              <w:t>3</w:t>
            </w:r>
            <w:r>
              <w:rPr>
                <w:rFonts w:hint="eastAsia" w:ascii="宋体" w:hAnsi="宋体"/>
                <w:color w:val="auto"/>
                <w:spacing w:val="-8"/>
                <w:sz w:val="21"/>
                <w:lang w:val="zh-CN"/>
              </w:rPr>
              <w:t>次及以上，每次体育锻炼持续时间</w:t>
            </w:r>
            <w:r>
              <w:rPr>
                <w:rFonts w:hint="default" w:ascii="Times New Roman" w:hAnsi="Times New Roman" w:eastAsia="Times New Roman"/>
                <w:color w:val="auto"/>
                <w:spacing w:val="-8"/>
                <w:sz w:val="21"/>
                <w:lang w:val="en-US"/>
              </w:rPr>
              <w:t>30</w:t>
            </w:r>
            <w:r>
              <w:rPr>
                <w:rFonts w:hint="eastAsia" w:ascii="宋体" w:hAnsi="宋体"/>
                <w:color w:val="auto"/>
                <w:spacing w:val="-8"/>
                <w:sz w:val="21"/>
                <w:lang w:val="zh-CN"/>
              </w:rPr>
              <w:t>分钟及以上，每次体育锻炼的运动强度达到中等及以上。中等运动强度是指在运动时心率达到最大心率的</w:t>
            </w:r>
            <w:r>
              <w:rPr>
                <w:rFonts w:hint="default" w:ascii="Times New Roman" w:hAnsi="Times New Roman" w:eastAsia="Times New Roman"/>
                <w:color w:val="auto"/>
                <w:spacing w:val="-8"/>
                <w:sz w:val="21"/>
                <w:lang w:val="en-US"/>
              </w:rPr>
              <w:t>64%</w:t>
            </w:r>
            <w:r>
              <w:rPr>
                <w:rFonts w:hint="eastAsia" w:ascii="宋体" w:hAnsi="宋体"/>
                <w:color w:val="auto"/>
                <w:spacing w:val="-8"/>
                <w:sz w:val="21"/>
                <w:lang w:val="zh-CN"/>
              </w:rPr>
              <w:t>～</w:t>
            </w:r>
            <w:r>
              <w:rPr>
                <w:rFonts w:hint="default" w:ascii="Times New Roman" w:hAnsi="Times New Roman" w:eastAsia="Times New Roman"/>
                <w:color w:val="auto"/>
                <w:spacing w:val="-8"/>
                <w:sz w:val="21"/>
                <w:lang w:val="en-US"/>
              </w:rPr>
              <w:t>76%</w:t>
            </w:r>
            <w:r>
              <w:rPr>
                <w:rFonts w:hint="eastAsia" w:ascii="宋体" w:hAnsi="宋体"/>
                <w:color w:val="auto"/>
                <w:spacing w:val="-8"/>
                <w:sz w:val="21"/>
                <w:lang w:val="zh-CN"/>
              </w:rPr>
              <w:t>的运动强度（最大心率等于</w:t>
            </w:r>
            <w:r>
              <w:rPr>
                <w:rFonts w:hint="default" w:ascii="Times New Roman" w:hAnsi="Times New Roman" w:eastAsia="Times New Roman"/>
                <w:color w:val="auto"/>
                <w:spacing w:val="-8"/>
                <w:sz w:val="21"/>
                <w:lang w:val="en-US"/>
              </w:rPr>
              <w:t>220</w:t>
            </w:r>
            <w:r>
              <w:rPr>
                <w:rFonts w:hint="eastAsia" w:ascii="宋体" w:hAnsi="宋体"/>
                <w:color w:val="auto"/>
                <w:spacing w:val="-8"/>
                <w:sz w:val="21"/>
                <w:lang w:val="zh-CN"/>
              </w:rPr>
              <w:t>减去年龄）。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10212" w:type="dxa"/>
            <w:gridSpan w:val="8"/>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color w:val="auto"/>
                <w:sz w:val="24"/>
                <w:lang w:val="zh-CN"/>
              </w:rPr>
              <w:t>个人和社会倡导性指标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22</w:t>
            </w:r>
          </w:p>
        </w:tc>
        <w:tc>
          <w:tcPr>
            <w:tcW w:w="8469" w:type="dxa"/>
            <w:gridSpan w:val="6"/>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b/>
                <w:color w:val="auto"/>
                <w:sz w:val="24"/>
                <w:lang w:val="zh-CN"/>
              </w:rPr>
              <w:t>机关、企事业单位积极开展工间操</w:t>
            </w:r>
          </w:p>
        </w:tc>
        <w:tc>
          <w:tcPr>
            <w:tcW w:w="105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倡导性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7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23</w:t>
            </w:r>
          </w:p>
        </w:tc>
        <w:tc>
          <w:tcPr>
            <w:tcW w:w="8469" w:type="dxa"/>
            <w:gridSpan w:val="6"/>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b/>
                <w:color w:val="auto"/>
                <w:sz w:val="24"/>
                <w:lang w:val="zh-CN"/>
              </w:rPr>
              <w:t>鼓励个人至少有</w:t>
            </w:r>
            <w:r>
              <w:rPr>
                <w:rFonts w:hint="default" w:ascii="Times New Roman" w:hAnsi="Times New Roman" w:eastAsia="Times New Roman"/>
                <w:b/>
                <w:color w:val="auto"/>
                <w:sz w:val="24"/>
                <w:lang w:val="en-US"/>
              </w:rPr>
              <w:t>1</w:t>
            </w:r>
            <w:r>
              <w:rPr>
                <w:rFonts w:hint="eastAsia" w:ascii="宋体" w:hAnsi="宋体"/>
                <w:b/>
                <w:color w:val="auto"/>
                <w:sz w:val="24"/>
                <w:lang w:val="zh-CN"/>
              </w:rPr>
              <w:t>项运动爱好或掌握一项传统运动项目，参加至少</w:t>
            </w:r>
            <w:r>
              <w:rPr>
                <w:rFonts w:hint="default" w:ascii="Times New Roman" w:hAnsi="Times New Roman" w:eastAsia="Times New Roman"/>
                <w:b/>
                <w:color w:val="auto"/>
                <w:sz w:val="24"/>
                <w:lang w:val="en-US"/>
              </w:rPr>
              <w:t>1</w:t>
            </w:r>
            <w:r>
              <w:rPr>
                <w:rFonts w:hint="eastAsia" w:ascii="宋体" w:hAnsi="宋体"/>
                <w:b/>
                <w:color w:val="auto"/>
                <w:sz w:val="24"/>
                <w:lang w:val="zh-CN"/>
              </w:rPr>
              <w:t>个健身组织，每天进行中等强度运动至少半小时</w:t>
            </w:r>
          </w:p>
        </w:tc>
        <w:tc>
          <w:tcPr>
            <w:tcW w:w="105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倡导性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2"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24</w:t>
            </w:r>
          </w:p>
        </w:tc>
        <w:tc>
          <w:tcPr>
            <w:tcW w:w="8469" w:type="dxa"/>
            <w:gridSpan w:val="6"/>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b/>
                <w:color w:val="auto"/>
                <w:sz w:val="24"/>
                <w:lang w:val="zh-CN"/>
              </w:rPr>
              <w:t>鼓励医疗机构提供运动促进健康的指导服务，鼓励引导社会体育指导员在健身场所等地方为群众提供科学健身指导服务，提高健身效果，预防运动损伤</w:t>
            </w:r>
          </w:p>
        </w:tc>
        <w:tc>
          <w:tcPr>
            <w:tcW w:w="105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倡导性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9519" w:type="dxa"/>
            <w:gridSpan w:val="7"/>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color w:val="auto"/>
                <w:sz w:val="21"/>
                <w:lang w:val="zh-CN"/>
              </w:rPr>
              <w:t>说明：社会体育指导员是指不以收取报酬为目的，向公众提供传授健身技能、组织健身活动、宣传科学健身知识等全民健身志愿服务，并获得技术等级称号的人员。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9"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25</w:t>
            </w:r>
          </w:p>
        </w:tc>
        <w:tc>
          <w:tcPr>
            <w:tcW w:w="8469" w:type="dxa"/>
            <w:gridSpan w:val="6"/>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b/>
                <w:color w:val="auto"/>
                <w:spacing w:val="-4"/>
                <w:sz w:val="24"/>
                <w:lang w:val="zh-CN"/>
              </w:rPr>
              <w:t>鼓励公共体育场地设施更多更好地提供免费或低收费开放服务，符合条件的企事业单位体育场地设施全部向社会开放</w:t>
            </w:r>
          </w:p>
        </w:tc>
        <w:tc>
          <w:tcPr>
            <w:tcW w:w="105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倡导性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10212" w:type="dxa"/>
            <w:gridSpan w:val="8"/>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color w:val="auto"/>
                <w:sz w:val="24"/>
                <w:lang w:val="zh-CN"/>
              </w:rPr>
              <w:t>政府工作指标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26</w:t>
            </w:r>
          </w:p>
        </w:tc>
        <w:tc>
          <w:tcPr>
            <w:tcW w:w="3458"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b/>
                <w:color w:val="auto"/>
                <w:sz w:val="24"/>
                <w:lang w:val="zh-CN"/>
              </w:rPr>
              <w:t>城市慢跑步行道绿道的人均长度（</w:t>
            </w:r>
            <w:r>
              <w:rPr>
                <w:rFonts w:hint="default" w:ascii="Times New Roman" w:hAnsi="Times New Roman" w:eastAsia="Times New Roman"/>
                <w:b/>
                <w:color w:val="auto"/>
                <w:sz w:val="24"/>
                <w:lang w:val="en-US"/>
              </w:rPr>
              <w:t>m/</w:t>
            </w:r>
            <w:r>
              <w:rPr>
                <w:rFonts w:hint="eastAsia" w:ascii="宋体" w:hAnsi="宋体"/>
                <w:b/>
                <w:color w:val="auto"/>
                <w:sz w:val="24"/>
                <w:lang w:val="zh-CN"/>
              </w:rPr>
              <w:t>万人）</w:t>
            </w:r>
          </w:p>
        </w:tc>
        <w:tc>
          <w:tcPr>
            <w:tcW w:w="2262"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宋体" w:hAnsi="宋体"/>
                <w:color w:val="auto"/>
                <w:sz w:val="24"/>
                <w:lang w:val="zh-CN"/>
              </w:rPr>
              <w:t>—</w:t>
            </w:r>
          </w:p>
        </w:tc>
        <w:tc>
          <w:tcPr>
            <w:tcW w:w="2749" w:type="dxa"/>
            <w:gridSpan w:val="3"/>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持续提升</w:t>
            </w:r>
          </w:p>
        </w:tc>
        <w:tc>
          <w:tcPr>
            <w:tcW w:w="105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27</w:t>
            </w:r>
          </w:p>
        </w:tc>
        <w:tc>
          <w:tcPr>
            <w:tcW w:w="3458"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b/>
                <w:color w:val="auto"/>
                <w:sz w:val="24"/>
                <w:lang w:val="zh-CN"/>
              </w:rPr>
              <w:t>每千人拥有社会体育指导员（人）</w:t>
            </w:r>
          </w:p>
        </w:tc>
        <w:tc>
          <w:tcPr>
            <w:tcW w:w="2262"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1.6</w:t>
            </w:r>
          </w:p>
        </w:tc>
        <w:tc>
          <w:tcPr>
            <w:tcW w:w="851"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1.9</w:t>
            </w:r>
          </w:p>
        </w:tc>
        <w:tc>
          <w:tcPr>
            <w:tcW w:w="1898"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2.3</w:t>
            </w:r>
          </w:p>
        </w:tc>
        <w:tc>
          <w:tcPr>
            <w:tcW w:w="105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36"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28</w:t>
            </w:r>
          </w:p>
        </w:tc>
        <w:tc>
          <w:tcPr>
            <w:tcW w:w="3458"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b/>
                <w:color w:val="auto"/>
                <w:sz w:val="24"/>
                <w:lang w:val="zh-CN"/>
              </w:rPr>
              <w:t>农村行政村体育设施覆盖率（</w:t>
            </w:r>
            <w:r>
              <w:rPr>
                <w:rFonts w:hint="default" w:ascii="Times New Roman" w:hAnsi="Times New Roman" w:eastAsia="Times New Roman"/>
                <w:b/>
                <w:color w:val="auto"/>
                <w:sz w:val="24"/>
                <w:lang w:val="en-US"/>
              </w:rPr>
              <w:t>%</w:t>
            </w:r>
            <w:r>
              <w:rPr>
                <w:rFonts w:hint="eastAsia" w:ascii="宋体" w:hAnsi="宋体"/>
                <w:b/>
                <w:color w:val="auto"/>
                <w:sz w:val="24"/>
                <w:lang w:val="zh-CN"/>
              </w:rPr>
              <w:t>）</w:t>
            </w:r>
          </w:p>
        </w:tc>
        <w:tc>
          <w:tcPr>
            <w:tcW w:w="2262"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88</w:t>
            </w:r>
          </w:p>
        </w:tc>
        <w:tc>
          <w:tcPr>
            <w:tcW w:w="851"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基本实现全覆盖</w:t>
            </w:r>
          </w:p>
        </w:tc>
        <w:tc>
          <w:tcPr>
            <w:tcW w:w="1898"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100</w:t>
            </w:r>
          </w:p>
        </w:tc>
        <w:tc>
          <w:tcPr>
            <w:tcW w:w="105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default" w:ascii="Times New Roman" w:hAnsi="Times New Roman" w:eastAsia="Times New Roman"/>
                <w:color w:val="auto"/>
                <w:sz w:val="32"/>
                <w:lang w:val="en-US"/>
              </w:rPr>
            </w:pPr>
          </w:p>
          <w:p>
            <w:pPr>
              <w:spacing w:beforeLines="0" w:afterLines="0"/>
              <w:jc w:val="center"/>
              <w:rPr>
                <w:rFonts w:hint="default" w:ascii="Times New Roman" w:hAnsi="Times New Roman" w:eastAsia="Times New Roman"/>
                <w:color w:val="auto"/>
                <w:sz w:val="32"/>
                <w:lang w:val="en-US"/>
              </w:rPr>
            </w:pPr>
          </w:p>
          <w:p>
            <w:pPr>
              <w:spacing w:beforeLines="0" w:afterLines="0"/>
              <w:rPr>
                <w:rFonts w:hint="default" w:ascii="Times New Roman" w:hAnsi="Times New Roman" w:eastAsia="Times New Roman"/>
                <w:color w:val="auto"/>
                <w:sz w:val="21"/>
                <w:lang w:val="en-US"/>
              </w:rPr>
            </w:pPr>
          </w:p>
          <w:p>
            <w:pPr>
              <w:spacing w:beforeLines="0" w:afterLines="0"/>
              <w:rPr>
                <w:rFonts w:hint="default" w:ascii="Times New Roman" w:hAnsi="Times New Roman" w:eastAsia="Times New Roman"/>
                <w:color w:val="auto"/>
                <w:sz w:val="21"/>
                <w:lang w:val="en-US"/>
              </w:rPr>
            </w:pPr>
          </w:p>
          <w:p>
            <w:pPr>
              <w:spacing w:beforeLines="0" w:afterLines="0"/>
              <w:rPr>
                <w:rFonts w:hint="default" w:ascii="Times New Roman" w:hAnsi="Times New Roman" w:eastAsia="Times New Roman"/>
                <w:color w:val="auto"/>
                <w:sz w:val="21"/>
                <w:lang w:val="en-US"/>
              </w:rPr>
            </w:pPr>
          </w:p>
          <w:p>
            <w:pPr>
              <w:spacing w:beforeLines="0" w:afterLines="0"/>
              <w:rPr>
                <w:rFonts w:hint="default" w:ascii="Times New Roman" w:hAnsi="Times New Roman" w:eastAsia="Times New Roman"/>
                <w:color w:val="auto"/>
                <w:sz w:val="21"/>
                <w:lang w:val="en-US"/>
              </w:rPr>
            </w:pPr>
          </w:p>
          <w:p>
            <w:pPr>
              <w:spacing w:beforeLines="0" w:afterLines="0"/>
              <w:rPr>
                <w:rFonts w:hint="default" w:ascii="Times New Roman" w:hAnsi="Times New Roman" w:eastAsia="Times New Roman"/>
                <w:color w:val="auto"/>
                <w:sz w:val="21"/>
                <w:lang w:val="en-US"/>
              </w:rPr>
            </w:pPr>
          </w:p>
          <w:p>
            <w:pPr>
              <w:spacing w:beforeLines="0" w:afterLines="0"/>
              <w:rPr>
                <w:rFonts w:hint="default" w:ascii="Times New Roman" w:hAnsi="Times New Roman" w:eastAsia="Times New Roman"/>
                <w:color w:val="auto"/>
                <w:sz w:val="21"/>
                <w:lang w:val="en-US"/>
              </w:rPr>
            </w:pPr>
          </w:p>
          <w:p>
            <w:pPr>
              <w:spacing w:beforeLines="0" w:afterLines="0"/>
              <w:rPr>
                <w:rFonts w:hint="default" w:ascii="Times New Roman" w:hAnsi="Times New Roman" w:eastAsia="Times New Roman"/>
                <w:color w:val="auto"/>
                <w:sz w:val="21"/>
                <w:lang w:val="en-US"/>
              </w:rPr>
            </w:pPr>
          </w:p>
          <w:p>
            <w:pPr>
              <w:spacing w:beforeLines="0" w:afterLines="0"/>
              <w:rPr>
                <w:rFonts w:hint="default" w:ascii="Times New Roman" w:hAnsi="Times New Roman" w:eastAsia="Times New Roman"/>
                <w:color w:val="auto"/>
                <w:sz w:val="21"/>
                <w:lang w:val="en-US"/>
              </w:rPr>
            </w:pPr>
          </w:p>
          <w:p>
            <w:pPr>
              <w:spacing w:beforeLines="0" w:afterLines="0"/>
              <w:rPr>
                <w:rFonts w:hint="default" w:ascii="Times New Roman" w:hAnsi="Times New Roman" w:eastAsia="Times New Roman"/>
                <w:color w:val="auto"/>
                <w:sz w:val="21"/>
                <w:lang w:val="en-US"/>
              </w:rPr>
            </w:pPr>
          </w:p>
          <w:p>
            <w:pPr>
              <w:spacing w:beforeLines="0" w:afterLines="0"/>
              <w:jc w:val="center"/>
              <w:rPr>
                <w:rFonts w:hint="default" w:ascii="Times New Roman" w:hAnsi="Times New Roman" w:eastAsia="Times New Roman"/>
                <w:color w:val="auto"/>
                <w:sz w:val="21"/>
                <w:lang w:val="en-US"/>
              </w:rPr>
            </w:pPr>
            <w:r>
              <w:rPr>
                <w:rFonts w:hint="eastAsia" w:ascii="宋体" w:hAnsi="宋体"/>
                <w:color w:val="auto"/>
                <w:sz w:val="21"/>
                <w:lang w:val="zh-CN"/>
              </w:rPr>
              <w:t>（四）</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控</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烟</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行</w:t>
            </w:r>
          </w:p>
          <w:p>
            <w:pPr>
              <w:spacing w:beforeLines="0" w:afterLines="0"/>
              <w:jc w:val="center"/>
              <w:rPr>
                <w:rFonts w:hint="default" w:ascii="Times New Roman" w:hAnsi="Times New Roman" w:eastAsia="Times New Roman"/>
                <w:color w:val="auto"/>
                <w:sz w:val="32"/>
                <w:lang w:val="en-US"/>
              </w:rPr>
            </w:pPr>
            <w:r>
              <w:rPr>
                <w:rFonts w:hint="eastAsia" w:ascii="宋体" w:hAnsi="宋体"/>
                <w:color w:val="auto"/>
                <w:sz w:val="24"/>
                <w:lang w:val="zh-CN"/>
              </w:rPr>
              <w:t>动</w:t>
            </w:r>
          </w:p>
          <w:p>
            <w:pPr>
              <w:spacing w:beforeLines="0" w:afterLines="0"/>
              <w:jc w:val="center"/>
              <w:rPr>
                <w:rFonts w:hint="default" w:ascii="Times New Roman" w:hAnsi="Times New Roman" w:eastAsia="Times New Roman"/>
                <w:color w:val="auto"/>
                <w:sz w:val="32"/>
                <w:lang w:val="en-US"/>
              </w:rPr>
            </w:pPr>
          </w:p>
          <w:p>
            <w:pPr>
              <w:spacing w:beforeLines="0" w:afterLines="0"/>
              <w:jc w:val="center"/>
              <w:rPr>
                <w:rFonts w:hint="default" w:ascii="Times New Roman" w:hAnsi="Times New Roman" w:eastAsia="Times New Roman"/>
                <w:color w:val="auto"/>
                <w:sz w:val="32"/>
                <w:lang w:val="en-US"/>
              </w:rPr>
            </w:pPr>
          </w:p>
          <w:p>
            <w:pPr>
              <w:spacing w:beforeLines="0" w:afterLines="0"/>
              <w:jc w:val="center"/>
              <w:rPr>
                <w:rFonts w:hint="default" w:ascii="Times New Roman" w:hAnsi="Times New Roman" w:eastAsia="Times New Roman"/>
                <w:color w:val="auto"/>
                <w:sz w:val="32"/>
                <w:lang w:val="en-US"/>
              </w:rPr>
            </w:pPr>
          </w:p>
          <w:p>
            <w:pPr>
              <w:spacing w:beforeLines="0" w:afterLines="0"/>
              <w:jc w:val="center"/>
              <w:rPr>
                <w:rFonts w:hint="default" w:ascii="Times New Roman" w:hAnsi="Times New Roman" w:eastAsia="Times New Roman"/>
                <w:color w:val="auto"/>
                <w:sz w:val="21"/>
                <w:lang w:val="en-US"/>
              </w:rPr>
            </w:pPr>
          </w:p>
          <w:p>
            <w:pPr>
              <w:spacing w:beforeLines="0" w:afterLines="0"/>
              <w:jc w:val="center"/>
              <w:rPr>
                <w:rFonts w:hint="eastAsia" w:ascii="宋体" w:hAnsi="宋体"/>
                <w:color w:val="auto"/>
                <w:sz w:val="22"/>
                <w:lang w:val="zh-CN"/>
              </w:rPr>
            </w:pPr>
          </w:p>
        </w:tc>
        <w:tc>
          <w:tcPr>
            <w:tcW w:w="10212" w:type="dxa"/>
            <w:gridSpan w:val="8"/>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color w:val="auto"/>
                <w:sz w:val="24"/>
                <w:lang w:val="zh-CN"/>
              </w:rPr>
              <w:t>结果性指标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29</w:t>
            </w:r>
          </w:p>
        </w:tc>
        <w:tc>
          <w:tcPr>
            <w:tcW w:w="3458"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default" w:ascii="Times New Roman" w:hAnsi="Times New Roman" w:eastAsia="Times New Roman"/>
                <w:b/>
                <w:color w:val="auto"/>
                <w:sz w:val="24"/>
                <w:lang w:val="en-US"/>
              </w:rPr>
              <w:t>15</w:t>
            </w:r>
            <w:r>
              <w:rPr>
                <w:rFonts w:hint="eastAsia" w:ascii="宋体" w:hAnsi="宋体"/>
                <w:b/>
                <w:color w:val="auto"/>
                <w:sz w:val="24"/>
                <w:lang w:val="zh-CN"/>
              </w:rPr>
              <w:t>岁以上人群吸烟率（</w:t>
            </w:r>
            <w:r>
              <w:rPr>
                <w:rFonts w:hint="default" w:ascii="Times New Roman" w:hAnsi="Times New Roman" w:eastAsia="Times New Roman"/>
                <w:b/>
                <w:color w:val="auto"/>
                <w:sz w:val="24"/>
                <w:lang w:val="en-US"/>
              </w:rPr>
              <w:t>%</w:t>
            </w:r>
            <w:r>
              <w:rPr>
                <w:rFonts w:hint="eastAsia" w:ascii="宋体" w:hAnsi="宋体"/>
                <w:b/>
                <w:color w:val="auto"/>
                <w:sz w:val="24"/>
                <w:lang w:val="zh-CN"/>
              </w:rPr>
              <w:t>）</w:t>
            </w:r>
          </w:p>
        </w:tc>
        <w:tc>
          <w:tcPr>
            <w:tcW w:w="2262"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2015</w:t>
            </w:r>
            <w:r>
              <w:rPr>
                <w:rFonts w:hint="eastAsia" w:ascii="宋体" w:hAnsi="宋体"/>
                <w:color w:val="auto"/>
                <w:sz w:val="24"/>
                <w:lang w:val="zh-CN"/>
              </w:rPr>
              <w:t>年为</w:t>
            </w:r>
            <w:r>
              <w:rPr>
                <w:rFonts w:hint="default" w:ascii="Times New Roman" w:hAnsi="Times New Roman" w:eastAsia="Times New Roman"/>
                <w:color w:val="auto"/>
                <w:sz w:val="24"/>
                <w:lang w:val="en-US"/>
              </w:rPr>
              <w:t>27.7</w:t>
            </w:r>
          </w:p>
        </w:tc>
        <w:tc>
          <w:tcPr>
            <w:tcW w:w="851"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&lt;24.5</w:t>
            </w:r>
          </w:p>
        </w:tc>
        <w:tc>
          <w:tcPr>
            <w:tcW w:w="1898"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&lt;20</w:t>
            </w:r>
          </w:p>
        </w:tc>
        <w:tc>
          <w:tcPr>
            <w:tcW w:w="105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30</w:t>
            </w:r>
          </w:p>
        </w:tc>
        <w:tc>
          <w:tcPr>
            <w:tcW w:w="3458"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b/>
                <w:color w:val="auto"/>
                <w:sz w:val="24"/>
                <w:lang w:val="zh-CN"/>
              </w:rPr>
              <w:t>全面无烟法规保护的人口比例（</w:t>
            </w:r>
            <w:r>
              <w:rPr>
                <w:rFonts w:hint="default" w:ascii="Times New Roman" w:hAnsi="Times New Roman" w:eastAsia="Times New Roman"/>
                <w:b/>
                <w:color w:val="auto"/>
                <w:sz w:val="24"/>
                <w:lang w:val="en-US"/>
              </w:rPr>
              <w:t>%</w:t>
            </w:r>
            <w:r>
              <w:rPr>
                <w:rFonts w:hint="eastAsia" w:ascii="宋体" w:hAnsi="宋体"/>
                <w:b/>
                <w:color w:val="auto"/>
                <w:sz w:val="24"/>
                <w:lang w:val="zh-CN"/>
              </w:rPr>
              <w:t>）</w:t>
            </w:r>
          </w:p>
        </w:tc>
        <w:tc>
          <w:tcPr>
            <w:tcW w:w="2262"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10</w:t>
            </w:r>
            <w:r>
              <w:rPr>
                <w:rFonts w:hint="eastAsia" w:ascii="宋体" w:hAnsi="宋体"/>
                <w:color w:val="auto"/>
                <w:sz w:val="24"/>
                <w:lang w:val="zh-CN"/>
              </w:rPr>
              <w:t>左右</w:t>
            </w:r>
          </w:p>
        </w:tc>
        <w:tc>
          <w:tcPr>
            <w:tcW w:w="851"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w:t>
            </w:r>
            <w:r>
              <w:rPr>
                <w:rFonts w:hint="default" w:ascii="Times New Roman" w:hAnsi="Times New Roman" w:eastAsia="Times New Roman"/>
                <w:color w:val="auto"/>
                <w:sz w:val="24"/>
                <w:lang w:val="en-US"/>
              </w:rPr>
              <w:t>30</w:t>
            </w:r>
          </w:p>
        </w:tc>
        <w:tc>
          <w:tcPr>
            <w:tcW w:w="1898"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w:t>
            </w:r>
            <w:r>
              <w:rPr>
                <w:rFonts w:hint="default" w:ascii="Times New Roman" w:hAnsi="Times New Roman" w:eastAsia="Times New Roman"/>
                <w:color w:val="auto"/>
                <w:sz w:val="24"/>
                <w:lang w:val="en-US"/>
              </w:rPr>
              <w:t>80</w:t>
            </w:r>
          </w:p>
        </w:tc>
        <w:tc>
          <w:tcPr>
            <w:tcW w:w="105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9519" w:type="dxa"/>
            <w:gridSpan w:val="7"/>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default" w:ascii="Times New Roman" w:hAnsi="Times New Roman" w:eastAsia="Times New Roman"/>
                <w:color w:val="auto"/>
                <w:sz w:val="21"/>
                <w:lang w:val="en-US"/>
              </w:rPr>
            </w:pPr>
            <w:r>
              <w:rPr>
                <w:rFonts w:hint="eastAsia" w:ascii="宋体" w:hAnsi="宋体"/>
                <w:color w:val="auto"/>
                <w:sz w:val="21"/>
                <w:lang w:val="zh-CN"/>
              </w:rPr>
              <w:t>说明：全面无烟法规保护的人口是指通过无烟立法而受到保护，避免在室内公共场所、室内工作场所和公共交通工具遭受烟草烟雾危害的人群数量。</w:t>
            </w:r>
          </w:p>
          <w:p>
            <w:pPr>
              <w:spacing w:beforeLines="0" w:afterLines="0"/>
              <w:rPr>
                <w:rFonts w:hint="eastAsia" w:ascii="宋体" w:hAnsi="宋体"/>
                <w:color w:val="auto"/>
                <w:sz w:val="22"/>
                <w:lang w:val="zh-CN"/>
              </w:rPr>
            </w:pPr>
            <w:r>
              <w:rPr>
                <w:rFonts w:hint="eastAsia" w:ascii="宋体" w:hAnsi="宋体"/>
                <w:color w:val="auto"/>
                <w:sz w:val="21"/>
                <w:lang w:val="zh-CN"/>
              </w:rPr>
              <w:t>计算方法：全面无烟法规覆盖人群总人数</w:t>
            </w:r>
            <w:r>
              <w:rPr>
                <w:rFonts w:hint="default" w:ascii="Times New Roman" w:hAnsi="Times New Roman" w:eastAsia="Times New Roman"/>
                <w:color w:val="auto"/>
                <w:sz w:val="21"/>
                <w:lang w:val="en-US"/>
              </w:rPr>
              <w:t>/</w:t>
            </w:r>
            <w:r>
              <w:rPr>
                <w:rFonts w:hint="eastAsia" w:ascii="宋体" w:hAnsi="宋体"/>
                <w:color w:val="auto"/>
                <w:sz w:val="21"/>
                <w:lang w:val="zh-CN"/>
              </w:rPr>
              <w:t>全国人口人数×</w:t>
            </w:r>
            <w:r>
              <w:rPr>
                <w:rFonts w:hint="default" w:ascii="Times New Roman" w:hAnsi="Times New Roman" w:eastAsia="Times New Roman"/>
                <w:color w:val="auto"/>
                <w:sz w:val="21"/>
                <w:lang w:val="en-US"/>
              </w:rPr>
              <w:t>100</w:t>
            </w:r>
            <w:r>
              <w:rPr>
                <w:rFonts w:hint="eastAsia" w:ascii="宋体" w:hAnsi="宋体"/>
                <w:color w:val="auto"/>
                <w:sz w:val="21"/>
                <w:lang w:val="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10212" w:type="dxa"/>
            <w:gridSpan w:val="8"/>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color w:val="auto"/>
                <w:sz w:val="24"/>
                <w:lang w:val="zh-CN"/>
              </w:rPr>
              <w:t>个人和社会倡导性指标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31</w:t>
            </w:r>
          </w:p>
        </w:tc>
        <w:tc>
          <w:tcPr>
            <w:tcW w:w="8469" w:type="dxa"/>
            <w:gridSpan w:val="6"/>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b/>
                <w:color w:val="auto"/>
                <w:sz w:val="24"/>
                <w:lang w:val="zh-CN"/>
              </w:rPr>
              <w:t>个人戒烟越早越好，什么时候都不晚。创建无烟家庭，保护家人免受二手烟危害</w:t>
            </w:r>
          </w:p>
        </w:tc>
        <w:tc>
          <w:tcPr>
            <w:tcW w:w="105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倡导性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32</w:t>
            </w:r>
          </w:p>
        </w:tc>
        <w:tc>
          <w:tcPr>
            <w:tcW w:w="8469" w:type="dxa"/>
            <w:gridSpan w:val="6"/>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b/>
                <w:color w:val="auto"/>
                <w:sz w:val="24"/>
                <w:lang w:val="zh-CN"/>
              </w:rPr>
              <w:t>领导干部、医务人员和教师发挥在控烟方面的引领作用</w:t>
            </w:r>
          </w:p>
        </w:tc>
        <w:tc>
          <w:tcPr>
            <w:tcW w:w="105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倡导性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33</w:t>
            </w:r>
          </w:p>
        </w:tc>
        <w:tc>
          <w:tcPr>
            <w:tcW w:w="8469" w:type="dxa"/>
            <w:gridSpan w:val="6"/>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b/>
                <w:color w:val="auto"/>
                <w:sz w:val="24"/>
                <w:lang w:val="zh-CN"/>
              </w:rPr>
              <w:t>鼓励企业、单位出台室内全面无烟政策，为员工营造无烟工作环境，为吸烟员工戒烟提供必要的帮助</w:t>
            </w:r>
          </w:p>
        </w:tc>
        <w:tc>
          <w:tcPr>
            <w:tcW w:w="105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倡导性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10212" w:type="dxa"/>
            <w:gridSpan w:val="8"/>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color w:val="auto"/>
                <w:sz w:val="24"/>
                <w:lang w:val="zh-CN"/>
              </w:rPr>
              <w:t>政府工作指标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34</w:t>
            </w:r>
          </w:p>
        </w:tc>
        <w:tc>
          <w:tcPr>
            <w:tcW w:w="3458"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b/>
                <w:color w:val="auto"/>
                <w:spacing w:val="-10"/>
                <w:sz w:val="24"/>
                <w:lang w:val="zh-CN"/>
              </w:rPr>
              <w:t>建设成无烟党政机关</w:t>
            </w:r>
          </w:p>
        </w:tc>
        <w:tc>
          <w:tcPr>
            <w:tcW w:w="2262"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宋体" w:hAnsi="宋体"/>
                <w:color w:val="auto"/>
                <w:sz w:val="24"/>
                <w:lang w:val="zh-CN"/>
              </w:rPr>
              <w:t>—</w:t>
            </w:r>
          </w:p>
        </w:tc>
        <w:tc>
          <w:tcPr>
            <w:tcW w:w="851"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基本实现</w:t>
            </w:r>
          </w:p>
        </w:tc>
        <w:tc>
          <w:tcPr>
            <w:tcW w:w="1898"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持续保持</w:t>
            </w:r>
          </w:p>
        </w:tc>
        <w:tc>
          <w:tcPr>
            <w:tcW w:w="105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color w:val="auto"/>
                <w:sz w:val="24"/>
                <w:lang w:val="zh-CN"/>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9519" w:type="dxa"/>
            <w:gridSpan w:val="7"/>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color w:val="auto"/>
                <w:sz w:val="21"/>
                <w:lang w:val="zh-CN"/>
              </w:rPr>
              <w:t>说明：中共中央办公厅、国务院办公厅《关于领导干部带头在公共场所禁烟有关事项的通知》要求把各级党政机关建成无烟机关，各级领导干部模范遵守公共场所禁烟规定，以实际行动作出表率。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5" w:hRule="atLeast"/>
          <w:jc w:val="center"/>
        </w:trPr>
        <w:tc>
          <w:tcPr>
            <w:tcW w:w="695"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default" w:ascii="Times New Roman" w:hAnsi="Times New Roman" w:eastAsia="Times New Roman"/>
                <w:color w:val="auto"/>
                <w:sz w:val="21"/>
                <w:lang w:val="en-US"/>
              </w:rPr>
            </w:pPr>
          </w:p>
          <w:p>
            <w:pPr>
              <w:spacing w:beforeLines="0" w:afterLines="0"/>
              <w:jc w:val="center"/>
              <w:rPr>
                <w:rFonts w:hint="default" w:ascii="Times New Roman" w:hAnsi="Times New Roman" w:eastAsia="Times New Roman"/>
                <w:color w:val="auto"/>
                <w:sz w:val="21"/>
                <w:lang w:val="en-US"/>
              </w:rPr>
            </w:pPr>
          </w:p>
          <w:p>
            <w:pPr>
              <w:spacing w:beforeLines="0" w:afterLines="0"/>
              <w:jc w:val="center"/>
              <w:rPr>
                <w:rFonts w:hint="default" w:ascii="Times New Roman" w:hAnsi="Times New Roman" w:eastAsia="Times New Roman"/>
                <w:color w:val="auto"/>
                <w:sz w:val="32"/>
                <w:lang w:val="en-US"/>
              </w:rPr>
            </w:pPr>
          </w:p>
          <w:p>
            <w:pPr>
              <w:spacing w:beforeLines="0" w:afterLines="0"/>
              <w:jc w:val="center"/>
              <w:rPr>
                <w:rFonts w:hint="default" w:ascii="Times New Roman" w:hAnsi="Times New Roman" w:eastAsia="Times New Roman"/>
                <w:color w:val="auto"/>
                <w:sz w:val="32"/>
                <w:lang w:val="en-US"/>
              </w:rPr>
            </w:pPr>
          </w:p>
          <w:p>
            <w:pPr>
              <w:spacing w:beforeLines="0" w:afterLines="0"/>
              <w:jc w:val="center"/>
              <w:rPr>
                <w:rFonts w:hint="default" w:ascii="Times New Roman" w:hAnsi="Times New Roman" w:eastAsia="Times New Roman"/>
                <w:color w:val="auto"/>
                <w:sz w:val="32"/>
                <w:lang w:val="en-US"/>
              </w:rPr>
            </w:pPr>
          </w:p>
          <w:p>
            <w:pPr>
              <w:spacing w:beforeLines="0" w:afterLines="0"/>
              <w:jc w:val="center"/>
              <w:rPr>
                <w:rFonts w:hint="default" w:ascii="Times New Roman" w:hAnsi="Times New Roman" w:eastAsia="Times New Roman"/>
                <w:color w:val="auto"/>
                <w:sz w:val="32"/>
                <w:lang w:val="en-US"/>
              </w:rPr>
            </w:pPr>
          </w:p>
          <w:p>
            <w:pPr>
              <w:spacing w:beforeLines="0" w:afterLines="0"/>
              <w:jc w:val="center"/>
              <w:rPr>
                <w:rFonts w:hint="default" w:ascii="Times New Roman" w:hAnsi="Times New Roman" w:eastAsia="Times New Roman"/>
                <w:color w:val="auto"/>
                <w:sz w:val="32"/>
                <w:lang w:val="en-US"/>
              </w:rPr>
            </w:pPr>
          </w:p>
          <w:p>
            <w:pPr>
              <w:spacing w:beforeLines="0" w:afterLines="0"/>
              <w:jc w:val="center"/>
              <w:rPr>
                <w:rFonts w:hint="default" w:ascii="Times New Roman" w:hAnsi="Times New Roman" w:eastAsia="Times New Roman"/>
                <w:color w:val="auto"/>
                <w:sz w:val="21"/>
                <w:lang w:val="en-US"/>
              </w:rPr>
            </w:pPr>
            <w:r>
              <w:rPr>
                <w:rFonts w:hint="eastAsia" w:ascii="宋体" w:hAnsi="宋体"/>
                <w:color w:val="auto"/>
                <w:sz w:val="21"/>
                <w:lang w:val="zh-CN"/>
              </w:rPr>
              <w:t>（五）</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心</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理</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健</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康</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促</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进</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行</w:t>
            </w:r>
          </w:p>
          <w:p>
            <w:pPr>
              <w:spacing w:beforeLines="0" w:afterLines="0"/>
              <w:jc w:val="center"/>
              <w:rPr>
                <w:rFonts w:hint="default" w:ascii="Times New Roman" w:hAnsi="Times New Roman" w:eastAsia="Times New Roman"/>
                <w:color w:val="auto"/>
                <w:sz w:val="32"/>
                <w:lang w:val="en-US"/>
              </w:rPr>
            </w:pPr>
            <w:r>
              <w:rPr>
                <w:rFonts w:hint="eastAsia" w:ascii="宋体" w:hAnsi="宋体"/>
                <w:color w:val="auto"/>
                <w:sz w:val="24"/>
                <w:lang w:val="zh-CN"/>
              </w:rPr>
              <w:t>动</w:t>
            </w:r>
          </w:p>
          <w:p>
            <w:pPr>
              <w:spacing w:beforeLines="0" w:afterLines="0"/>
              <w:jc w:val="center"/>
              <w:rPr>
                <w:rFonts w:hint="default" w:ascii="Times New Roman" w:hAnsi="Times New Roman" w:eastAsia="Times New Roman"/>
                <w:color w:val="auto"/>
                <w:sz w:val="32"/>
                <w:lang w:val="en-US"/>
              </w:rPr>
            </w:pPr>
          </w:p>
          <w:p>
            <w:pPr>
              <w:spacing w:beforeLines="0" w:afterLines="0"/>
              <w:jc w:val="center"/>
              <w:rPr>
                <w:rFonts w:hint="default" w:ascii="Times New Roman" w:hAnsi="Times New Roman" w:eastAsia="Times New Roman"/>
                <w:color w:val="auto"/>
                <w:sz w:val="32"/>
                <w:lang w:val="en-US"/>
              </w:rPr>
            </w:pPr>
          </w:p>
          <w:p>
            <w:pPr>
              <w:spacing w:beforeLines="0" w:afterLines="0"/>
              <w:jc w:val="center"/>
              <w:rPr>
                <w:rFonts w:hint="default" w:ascii="Times New Roman" w:hAnsi="Times New Roman" w:eastAsia="Times New Roman"/>
                <w:color w:val="auto"/>
                <w:sz w:val="32"/>
                <w:lang w:val="en-US"/>
              </w:rPr>
            </w:pPr>
          </w:p>
          <w:p>
            <w:pPr>
              <w:spacing w:beforeLines="0" w:afterLines="0"/>
              <w:jc w:val="center"/>
              <w:rPr>
                <w:rFonts w:hint="default" w:ascii="Times New Roman" w:hAnsi="Times New Roman" w:eastAsia="Times New Roman"/>
                <w:color w:val="auto"/>
                <w:sz w:val="32"/>
                <w:lang w:val="en-US"/>
              </w:rPr>
            </w:pPr>
          </w:p>
          <w:p>
            <w:pPr>
              <w:spacing w:beforeLines="0" w:afterLines="0"/>
              <w:jc w:val="center"/>
              <w:rPr>
                <w:rFonts w:hint="default" w:ascii="Times New Roman" w:hAnsi="Times New Roman" w:eastAsia="Times New Roman"/>
                <w:color w:val="auto"/>
                <w:sz w:val="32"/>
                <w:lang w:val="en-US"/>
              </w:rPr>
            </w:pPr>
          </w:p>
          <w:p>
            <w:pPr>
              <w:spacing w:beforeLines="0" w:afterLines="0"/>
              <w:jc w:val="center"/>
              <w:rPr>
                <w:rFonts w:hint="default" w:ascii="Times New Roman" w:hAnsi="Times New Roman" w:eastAsia="Times New Roman"/>
                <w:color w:val="auto"/>
                <w:sz w:val="32"/>
                <w:lang w:val="en-US"/>
              </w:rPr>
            </w:pPr>
          </w:p>
          <w:p>
            <w:pPr>
              <w:spacing w:beforeLines="0" w:afterLines="0"/>
              <w:jc w:val="center"/>
              <w:rPr>
                <w:rFonts w:hint="default" w:ascii="Times New Roman" w:hAnsi="Times New Roman" w:eastAsia="Times New Roman"/>
                <w:color w:val="auto"/>
                <w:sz w:val="32"/>
                <w:lang w:val="en-US"/>
              </w:rPr>
            </w:pPr>
          </w:p>
          <w:p>
            <w:pPr>
              <w:spacing w:beforeLines="0" w:afterLines="0"/>
              <w:jc w:val="center"/>
              <w:rPr>
                <w:rFonts w:hint="default" w:ascii="Times New Roman" w:hAnsi="Times New Roman" w:eastAsia="Times New Roman"/>
                <w:color w:val="auto"/>
                <w:sz w:val="32"/>
                <w:lang w:val="en-US"/>
              </w:rPr>
            </w:pPr>
          </w:p>
          <w:p>
            <w:pPr>
              <w:spacing w:beforeLines="0" w:afterLines="0"/>
              <w:jc w:val="center"/>
              <w:rPr>
                <w:rFonts w:hint="default" w:ascii="Times New Roman" w:hAnsi="Times New Roman" w:eastAsia="Times New Roman"/>
                <w:color w:val="auto"/>
                <w:sz w:val="21"/>
                <w:lang w:val="en-US"/>
              </w:rPr>
            </w:pPr>
            <w:r>
              <w:rPr>
                <w:rFonts w:hint="eastAsia" w:ascii="宋体" w:hAnsi="宋体"/>
                <w:color w:val="auto"/>
                <w:sz w:val="21"/>
                <w:lang w:val="zh-CN"/>
              </w:rPr>
              <w:t>（五）</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心</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理</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健</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康</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促</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进</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行</w:t>
            </w:r>
          </w:p>
          <w:p>
            <w:pPr>
              <w:spacing w:beforeLines="0" w:afterLines="0"/>
              <w:jc w:val="center"/>
              <w:rPr>
                <w:rFonts w:hint="eastAsia" w:ascii="宋体" w:hAnsi="宋体"/>
                <w:color w:val="auto"/>
                <w:sz w:val="22"/>
                <w:lang w:val="zh-CN"/>
              </w:rPr>
            </w:pPr>
            <w:r>
              <w:rPr>
                <w:rFonts w:hint="eastAsia" w:ascii="宋体" w:hAnsi="宋体"/>
                <w:color w:val="auto"/>
                <w:sz w:val="24"/>
                <w:lang w:val="zh-CN"/>
              </w:rPr>
              <w:t>动</w:t>
            </w:r>
          </w:p>
        </w:tc>
        <w:tc>
          <w:tcPr>
            <w:tcW w:w="10212" w:type="dxa"/>
            <w:gridSpan w:val="8"/>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color w:val="auto"/>
                <w:sz w:val="24"/>
                <w:lang w:val="zh-CN"/>
              </w:rPr>
              <w:t>结果性指标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35</w:t>
            </w:r>
          </w:p>
        </w:tc>
        <w:tc>
          <w:tcPr>
            <w:tcW w:w="3458"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b/>
                <w:color w:val="auto"/>
                <w:sz w:val="24"/>
                <w:lang w:val="zh-CN"/>
              </w:rPr>
              <w:t>居民心理健康素养水平（</w:t>
            </w:r>
            <w:r>
              <w:rPr>
                <w:rFonts w:hint="default" w:ascii="Times New Roman" w:hAnsi="Times New Roman" w:eastAsia="Times New Roman"/>
                <w:b/>
                <w:color w:val="auto"/>
                <w:sz w:val="24"/>
                <w:lang w:val="en-US"/>
              </w:rPr>
              <w:t>%</w:t>
            </w:r>
            <w:r>
              <w:rPr>
                <w:rFonts w:hint="eastAsia" w:ascii="宋体" w:hAnsi="宋体"/>
                <w:b/>
                <w:color w:val="auto"/>
                <w:sz w:val="24"/>
                <w:lang w:val="zh-CN"/>
              </w:rPr>
              <w:t>）</w:t>
            </w:r>
          </w:p>
        </w:tc>
        <w:tc>
          <w:tcPr>
            <w:tcW w:w="2262"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12</w:t>
            </w:r>
          </w:p>
        </w:tc>
        <w:tc>
          <w:tcPr>
            <w:tcW w:w="851"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20</w:t>
            </w:r>
          </w:p>
        </w:tc>
        <w:tc>
          <w:tcPr>
            <w:tcW w:w="1898"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30</w:t>
            </w:r>
          </w:p>
        </w:tc>
        <w:tc>
          <w:tcPr>
            <w:tcW w:w="105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9519" w:type="dxa"/>
            <w:gridSpan w:val="7"/>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color w:val="auto"/>
                <w:sz w:val="21"/>
                <w:lang w:val="zh-CN"/>
              </w:rPr>
              <w:t>说明：根据国家卫生健康委发布的《心理健康素养十条》，居民对心理健康核心知识的知晓情况、认可程度、行为改变等。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36</w:t>
            </w:r>
          </w:p>
        </w:tc>
        <w:tc>
          <w:tcPr>
            <w:tcW w:w="3458"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b/>
                <w:color w:val="auto"/>
                <w:sz w:val="24"/>
                <w:lang w:val="zh-CN"/>
              </w:rPr>
              <w:t>失眠现患率（</w:t>
            </w:r>
            <w:r>
              <w:rPr>
                <w:rFonts w:hint="default" w:ascii="Times New Roman" w:hAnsi="Times New Roman" w:eastAsia="Times New Roman"/>
                <w:b/>
                <w:color w:val="auto"/>
                <w:sz w:val="24"/>
                <w:lang w:val="en-US"/>
              </w:rPr>
              <w:t>%</w:t>
            </w:r>
            <w:r>
              <w:rPr>
                <w:rFonts w:hint="eastAsia" w:ascii="宋体" w:hAnsi="宋体"/>
                <w:b/>
                <w:color w:val="auto"/>
                <w:sz w:val="24"/>
                <w:lang w:val="zh-CN"/>
              </w:rPr>
              <w:t>）</w:t>
            </w:r>
          </w:p>
        </w:tc>
        <w:tc>
          <w:tcPr>
            <w:tcW w:w="2262"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2016</w:t>
            </w:r>
            <w:r>
              <w:rPr>
                <w:rFonts w:hint="eastAsia" w:ascii="宋体" w:hAnsi="宋体"/>
                <w:color w:val="auto"/>
                <w:sz w:val="24"/>
                <w:lang w:val="zh-CN"/>
              </w:rPr>
              <w:t>年为</w:t>
            </w:r>
            <w:r>
              <w:rPr>
                <w:rFonts w:hint="default" w:ascii="Times New Roman" w:hAnsi="Times New Roman" w:eastAsia="Times New Roman"/>
                <w:color w:val="auto"/>
                <w:sz w:val="24"/>
                <w:lang w:val="en-US"/>
              </w:rPr>
              <w:t>15</w:t>
            </w:r>
          </w:p>
        </w:tc>
        <w:tc>
          <w:tcPr>
            <w:tcW w:w="2749" w:type="dxa"/>
            <w:gridSpan w:val="3"/>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上升趋势减缓</w:t>
            </w:r>
          </w:p>
        </w:tc>
        <w:tc>
          <w:tcPr>
            <w:tcW w:w="105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9519" w:type="dxa"/>
            <w:gridSpan w:val="7"/>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default" w:ascii="Times New Roman" w:hAnsi="Times New Roman" w:eastAsia="Times New Roman"/>
                <w:color w:val="auto"/>
                <w:sz w:val="21"/>
                <w:lang w:val="en-US"/>
              </w:rPr>
            </w:pPr>
            <w:r>
              <w:rPr>
                <w:rFonts w:hint="eastAsia" w:ascii="宋体" w:hAnsi="宋体"/>
                <w:color w:val="auto"/>
                <w:sz w:val="21"/>
                <w:lang w:val="zh-CN"/>
              </w:rPr>
              <w:t>说明：失眠现患率指用反映睡眠情况的相关量表检测出的失眠人数占调查人数的比例。据预测，我国睡眠问题和睡眠障碍患病率将呈上升趋势。</w:t>
            </w:r>
          </w:p>
          <w:p>
            <w:pPr>
              <w:spacing w:beforeLines="0" w:afterLines="0"/>
              <w:rPr>
                <w:rFonts w:hint="eastAsia" w:ascii="宋体" w:hAnsi="宋体"/>
                <w:color w:val="auto"/>
                <w:sz w:val="22"/>
                <w:lang w:val="zh-CN"/>
              </w:rPr>
            </w:pPr>
            <w:r>
              <w:rPr>
                <w:rFonts w:hint="eastAsia" w:ascii="宋体" w:hAnsi="宋体"/>
                <w:color w:val="auto"/>
                <w:sz w:val="21"/>
                <w:lang w:val="zh-CN"/>
              </w:rPr>
              <w:t>计算方法：通过定期开展专项调查获得相关结果。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37</w:t>
            </w:r>
          </w:p>
        </w:tc>
        <w:tc>
          <w:tcPr>
            <w:tcW w:w="3458"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b/>
                <w:color w:val="auto"/>
                <w:sz w:val="24"/>
                <w:lang w:val="zh-CN"/>
              </w:rPr>
              <w:t>焦虑障碍患病率（</w:t>
            </w:r>
            <w:r>
              <w:rPr>
                <w:rFonts w:hint="default" w:ascii="Times New Roman" w:hAnsi="Times New Roman" w:eastAsia="Times New Roman"/>
                <w:b/>
                <w:color w:val="auto"/>
                <w:sz w:val="24"/>
                <w:lang w:val="en-US"/>
              </w:rPr>
              <w:t>%</w:t>
            </w:r>
            <w:r>
              <w:rPr>
                <w:rFonts w:hint="eastAsia" w:ascii="宋体" w:hAnsi="宋体"/>
                <w:b/>
                <w:color w:val="auto"/>
                <w:sz w:val="24"/>
                <w:lang w:val="zh-CN"/>
              </w:rPr>
              <w:t>）</w:t>
            </w:r>
          </w:p>
        </w:tc>
        <w:tc>
          <w:tcPr>
            <w:tcW w:w="2262"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2014</w:t>
            </w:r>
            <w:r>
              <w:rPr>
                <w:rFonts w:hint="eastAsia" w:ascii="宋体" w:hAnsi="宋体"/>
                <w:color w:val="auto"/>
                <w:sz w:val="24"/>
                <w:lang w:val="zh-CN"/>
              </w:rPr>
              <w:t>年为</w:t>
            </w:r>
            <w:r>
              <w:rPr>
                <w:rFonts w:hint="default" w:ascii="Times New Roman" w:hAnsi="Times New Roman" w:eastAsia="Times New Roman"/>
                <w:color w:val="auto"/>
                <w:sz w:val="24"/>
                <w:lang w:val="en-US"/>
              </w:rPr>
              <w:t>4.98</w:t>
            </w:r>
          </w:p>
        </w:tc>
        <w:tc>
          <w:tcPr>
            <w:tcW w:w="2749" w:type="dxa"/>
            <w:gridSpan w:val="3"/>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400" w:lineRule="atLeast"/>
              <w:jc w:val="center"/>
              <w:rPr>
                <w:rFonts w:hint="eastAsia" w:ascii="宋体" w:hAnsi="宋体"/>
                <w:color w:val="auto"/>
                <w:sz w:val="22"/>
                <w:lang w:val="zh-CN"/>
              </w:rPr>
            </w:pPr>
            <w:r>
              <w:rPr>
                <w:rFonts w:hint="eastAsia" w:ascii="宋体" w:hAnsi="宋体"/>
                <w:color w:val="auto"/>
                <w:sz w:val="24"/>
                <w:lang w:val="zh-CN"/>
              </w:rPr>
              <w:t>上升趋势减缓</w:t>
            </w:r>
          </w:p>
        </w:tc>
        <w:tc>
          <w:tcPr>
            <w:tcW w:w="105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9519" w:type="dxa"/>
            <w:gridSpan w:val="7"/>
            <w:tcBorders>
              <w:top w:val="single" w:color="000000" w:sz="4" w:space="0"/>
              <w:left w:val="single" w:color="000000" w:sz="4" w:space="0"/>
              <w:bottom w:val="single" w:color="000000" w:sz="4" w:space="0"/>
              <w:right w:val="single" w:color="000000" w:sz="4" w:space="0"/>
              <w:tl2br w:val="nil"/>
              <w:tr2bl w:val="nil"/>
            </w:tcBorders>
            <w:shd w:val="clear" w:color="000000" w:fill="FFFFFF"/>
            <w:vAlign w:val="top"/>
          </w:tcPr>
          <w:p>
            <w:pPr>
              <w:spacing w:beforeLines="0" w:afterLines="0"/>
              <w:rPr>
                <w:rFonts w:hint="eastAsia" w:ascii="宋体" w:hAnsi="宋体"/>
                <w:color w:val="auto"/>
                <w:sz w:val="22"/>
                <w:lang w:val="zh-CN"/>
              </w:rPr>
            </w:pPr>
            <w:r>
              <w:rPr>
                <w:rFonts w:hint="eastAsia" w:ascii="宋体" w:hAnsi="宋体"/>
                <w:color w:val="auto"/>
                <w:sz w:val="21"/>
                <w:lang w:val="zh-CN"/>
              </w:rPr>
              <w:t>说明：焦虑障碍是以焦虑综合征为主要临床表现的一组精神障碍。焦虑综合征包括精神症状和躯体症状两个方面。精神症状指提心吊胆、恐惧和忧郁的内心体验，常伴有紧张不安；躯体症状指心悸气短、胸闷、口干、出汗、肌紧张性震颤、颤抖或颜面潮红、苍白等。焦虑障碍患病率美国为</w:t>
            </w:r>
            <w:r>
              <w:rPr>
                <w:rFonts w:hint="default" w:ascii="Times New Roman" w:hAnsi="Times New Roman" w:eastAsia="Times New Roman"/>
                <w:color w:val="auto"/>
                <w:sz w:val="21"/>
                <w:lang w:val="en-US"/>
              </w:rPr>
              <w:t>18.2%</w:t>
            </w:r>
            <w:r>
              <w:rPr>
                <w:rFonts w:hint="eastAsia" w:ascii="宋体" w:hAnsi="宋体"/>
                <w:color w:val="auto"/>
                <w:sz w:val="21"/>
                <w:lang w:val="zh-CN"/>
              </w:rPr>
              <w:t>（</w:t>
            </w:r>
            <w:r>
              <w:rPr>
                <w:rFonts w:hint="default" w:ascii="Times New Roman" w:hAnsi="Times New Roman" w:eastAsia="Times New Roman"/>
                <w:color w:val="auto"/>
                <w:sz w:val="21"/>
                <w:lang w:val="en-US"/>
              </w:rPr>
              <w:t>2003</w:t>
            </w:r>
            <w:r>
              <w:rPr>
                <w:rFonts w:hint="eastAsia" w:ascii="宋体" w:hAnsi="宋体"/>
                <w:color w:val="auto"/>
                <w:sz w:val="21"/>
                <w:lang w:val="zh-CN"/>
              </w:rPr>
              <w:t>年）、澳大利亚为</w:t>
            </w:r>
            <w:r>
              <w:rPr>
                <w:rFonts w:hint="default" w:ascii="Times New Roman" w:hAnsi="Times New Roman" w:eastAsia="Times New Roman"/>
                <w:color w:val="auto"/>
                <w:sz w:val="21"/>
                <w:lang w:val="en-US"/>
              </w:rPr>
              <w:t>14.4%</w:t>
            </w:r>
            <w:r>
              <w:rPr>
                <w:rFonts w:hint="eastAsia" w:ascii="宋体" w:hAnsi="宋体"/>
                <w:color w:val="auto"/>
                <w:sz w:val="21"/>
                <w:lang w:val="zh-CN"/>
              </w:rPr>
              <w:t>（</w:t>
            </w:r>
            <w:r>
              <w:rPr>
                <w:rFonts w:hint="default" w:ascii="Times New Roman" w:hAnsi="Times New Roman" w:eastAsia="Times New Roman"/>
                <w:color w:val="auto"/>
                <w:sz w:val="21"/>
                <w:lang w:val="en-US"/>
              </w:rPr>
              <w:t>2007</w:t>
            </w:r>
            <w:r>
              <w:rPr>
                <w:rFonts w:hint="eastAsia" w:ascii="宋体" w:hAnsi="宋体"/>
                <w:color w:val="auto"/>
                <w:sz w:val="21"/>
                <w:lang w:val="zh-CN"/>
              </w:rPr>
              <w:t>年）、巴西为</w:t>
            </w:r>
            <w:r>
              <w:rPr>
                <w:rFonts w:hint="default" w:ascii="Times New Roman" w:hAnsi="Times New Roman" w:eastAsia="Times New Roman"/>
                <w:color w:val="auto"/>
                <w:sz w:val="21"/>
                <w:lang w:val="en-US"/>
              </w:rPr>
              <w:t>19.9%</w:t>
            </w:r>
            <w:r>
              <w:rPr>
                <w:rFonts w:hint="eastAsia" w:ascii="宋体" w:hAnsi="宋体"/>
                <w:color w:val="auto"/>
                <w:sz w:val="21"/>
                <w:lang w:val="zh-CN"/>
              </w:rPr>
              <w:t>（</w:t>
            </w:r>
            <w:r>
              <w:rPr>
                <w:rFonts w:hint="default" w:ascii="Times New Roman" w:hAnsi="Times New Roman" w:eastAsia="Times New Roman"/>
                <w:color w:val="auto"/>
                <w:sz w:val="21"/>
                <w:lang w:val="en-US"/>
              </w:rPr>
              <w:t>2007</w:t>
            </w:r>
            <w:r>
              <w:rPr>
                <w:rFonts w:hint="eastAsia" w:ascii="宋体" w:hAnsi="宋体"/>
                <w:color w:val="auto"/>
                <w:sz w:val="21"/>
                <w:lang w:val="zh-CN"/>
              </w:rPr>
              <w:t>年）。专家预测，我国焦虑障碍患病率将呈上升趋势。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38</w:t>
            </w:r>
          </w:p>
        </w:tc>
        <w:tc>
          <w:tcPr>
            <w:tcW w:w="3458"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b/>
                <w:color w:val="auto"/>
                <w:sz w:val="24"/>
                <w:lang w:val="zh-CN"/>
              </w:rPr>
              <w:t>抑郁症患病率（</w:t>
            </w:r>
            <w:r>
              <w:rPr>
                <w:rFonts w:hint="default" w:ascii="Times New Roman" w:hAnsi="Times New Roman" w:eastAsia="Times New Roman"/>
                <w:b/>
                <w:color w:val="auto"/>
                <w:sz w:val="24"/>
                <w:lang w:val="en-US"/>
              </w:rPr>
              <w:t>%</w:t>
            </w:r>
            <w:r>
              <w:rPr>
                <w:rFonts w:hint="eastAsia" w:ascii="宋体" w:hAnsi="宋体"/>
                <w:b/>
                <w:color w:val="auto"/>
                <w:sz w:val="24"/>
                <w:lang w:val="zh-CN"/>
              </w:rPr>
              <w:t>）</w:t>
            </w:r>
          </w:p>
        </w:tc>
        <w:tc>
          <w:tcPr>
            <w:tcW w:w="2262"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2014</w:t>
            </w:r>
            <w:r>
              <w:rPr>
                <w:rFonts w:hint="eastAsia" w:ascii="宋体" w:hAnsi="宋体"/>
                <w:color w:val="auto"/>
                <w:sz w:val="24"/>
                <w:lang w:val="zh-CN"/>
              </w:rPr>
              <w:t>年为</w:t>
            </w:r>
            <w:r>
              <w:rPr>
                <w:rFonts w:hint="default" w:ascii="Times New Roman" w:hAnsi="Times New Roman" w:eastAsia="Times New Roman"/>
                <w:color w:val="auto"/>
                <w:sz w:val="24"/>
                <w:lang w:val="en-US"/>
              </w:rPr>
              <w:t>2.1</w:t>
            </w:r>
          </w:p>
        </w:tc>
        <w:tc>
          <w:tcPr>
            <w:tcW w:w="2749" w:type="dxa"/>
            <w:gridSpan w:val="3"/>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上升趋势减缓</w:t>
            </w:r>
          </w:p>
        </w:tc>
        <w:tc>
          <w:tcPr>
            <w:tcW w:w="105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9519" w:type="dxa"/>
            <w:gridSpan w:val="7"/>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color w:val="auto"/>
                <w:sz w:val="21"/>
                <w:lang w:val="zh-CN"/>
              </w:rPr>
              <w:t>说明：抑郁症是一种常见疾病，指情绪低落、兴趣丧失、精力缺乏持续</w:t>
            </w:r>
            <w:r>
              <w:rPr>
                <w:rFonts w:hint="default" w:ascii="Times New Roman" w:hAnsi="Times New Roman" w:eastAsia="Times New Roman"/>
                <w:color w:val="auto"/>
                <w:sz w:val="21"/>
                <w:lang w:val="en-US"/>
              </w:rPr>
              <w:t>2</w:t>
            </w:r>
            <w:r>
              <w:rPr>
                <w:rFonts w:hint="eastAsia" w:ascii="宋体" w:hAnsi="宋体"/>
                <w:color w:val="auto"/>
                <w:sz w:val="21"/>
                <w:lang w:val="zh-CN"/>
              </w:rPr>
              <w:t>周以上，有显著情感、认知和自主神经功能改变并在发作间歇期症状缓解。抑郁症患病率美国</w:t>
            </w:r>
            <w:r>
              <w:rPr>
                <w:rFonts w:hint="default" w:ascii="Times New Roman" w:hAnsi="Times New Roman" w:eastAsia="Times New Roman"/>
                <w:color w:val="auto"/>
                <w:sz w:val="21"/>
                <w:lang w:val="en-US"/>
              </w:rPr>
              <w:t>2003</w:t>
            </w:r>
            <w:r>
              <w:rPr>
                <w:rFonts w:hint="eastAsia" w:ascii="宋体" w:hAnsi="宋体"/>
                <w:color w:val="auto"/>
                <w:sz w:val="21"/>
                <w:lang w:val="zh-CN"/>
              </w:rPr>
              <w:t>年为</w:t>
            </w:r>
            <w:r>
              <w:rPr>
                <w:rFonts w:hint="default" w:ascii="Times New Roman" w:hAnsi="Times New Roman" w:eastAsia="Times New Roman"/>
                <w:color w:val="auto"/>
                <w:sz w:val="21"/>
                <w:lang w:val="en-US"/>
              </w:rPr>
              <w:t>6.6%</w:t>
            </w:r>
            <w:r>
              <w:rPr>
                <w:rFonts w:hint="eastAsia" w:ascii="宋体" w:hAnsi="宋体"/>
                <w:color w:val="auto"/>
                <w:sz w:val="21"/>
                <w:lang w:val="zh-CN"/>
              </w:rPr>
              <w:t>、法国</w:t>
            </w:r>
            <w:r>
              <w:rPr>
                <w:rFonts w:hint="default" w:ascii="Times New Roman" w:hAnsi="Times New Roman" w:eastAsia="Times New Roman"/>
                <w:color w:val="auto"/>
                <w:sz w:val="21"/>
                <w:lang w:val="en-US"/>
              </w:rPr>
              <w:t>2002</w:t>
            </w:r>
            <w:r>
              <w:rPr>
                <w:rFonts w:hint="eastAsia" w:ascii="宋体" w:hAnsi="宋体"/>
                <w:color w:val="auto"/>
                <w:sz w:val="21"/>
                <w:lang w:val="zh-CN"/>
              </w:rPr>
              <w:t>年为</w:t>
            </w:r>
            <w:r>
              <w:rPr>
                <w:rFonts w:hint="default" w:ascii="Times New Roman" w:hAnsi="Times New Roman" w:eastAsia="Times New Roman"/>
                <w:color w:val="auto"/>
                <w:sz w:val="21"/>
                <w:lang w:val="en-US"/>
              </w:rPr>
              <w:t>5.9%</w:t>
            </w:r>
            <w:r>
              <w:rPr>
                <w:rFonts w:hint="eastAsia" w:ascii="宋体" w:hAnsi="宋体"/>
                <w:color w:val="auto"/>
                <w:sz w:val="21"/>
                <w:lang w:val="zh-CN"/>
              </w:rPr>
              <w:t>、巴西</w:t>
            </w:r>
            <w:r>
              <w:rPr>
                <w:rFonts w:hint="default" w:ascii="Times New Roman" w:hAnsi="Times New Roman" w:eastAsia="Times New Roman"/>
                <w:color w:val="auto"/>
                <w:sz w:val="21"/>
                <w:lang w:val="en-US"/>
              </w:rPr>
              <w:t>2007</w:t>
            </w:r>
            <w:r>
              <w:rPr>
                <w:rFonts w:hint="eastAsia" w:ascii="宋体" w:hAnsi="宋体"/>
                <w:color w:val="auto"/>
                <w:sz w:val="21"/>
                <w:lang w:val="zh-CN"/>
              </w:rPr>
              <w:t>年为</w:t>
            </w:r>
            <w:r>
              <w:rPr>
                <w:rFonts w:hint="default" w:ascii="Times New Roman" w:hAnsi="Times New Roman" w:eastAsia="Times New Roman"/>
                <w:color w:val="auto"/>
                <w:sz w:val="21"/>
                <w:lang w:val="en-US"/>
              </w:rPr>
              <w:t>9.4%</w:t>
            </w:r>
            <w:r>
              <w:rPr>
                <w:rFonts w:hint="eastAsia" w:ascii="宋体" w:hAnsi="宋体"/>
                <w:color w:val="auto"/>
                <w:sz w:val="21"/>
                <w:lang w:val="zh-CN"/>
              </w:rPr>
              <w:t>、澳大利亚</w:t>
            </w:r>
            <w:r>
              <w:rPr>
                <w:rFonts w:hint="default" w:ascii="Times New Roman" w:hAnsi="Times New Roman" w:eastAsia="Times New Roman"/>
                <w:color w:val="auto"/>
                <w:sz w:val="21"/>
                <w:lang w:val="en-US"/>
              </w:rPr>
              <w:t>2007</w:t>
            </w:r>
            <w:r>
              <w:rPr>
                <w:rFonts w:hint="eastAsia" w:ascii="宋体" w:hAnsi="宋体"/>
                <w:color w:val="auto"/>
                <w:sz w:val="21"/>
                <w:lang w:val="zh-CN"/>
              </w:rPr>
              <w:t>年为</w:t>
            </w:r>
            <w:r>
              <w:rPr>
                <w:rFonts w:hint="default" w:ascii="Times New Roman" w:hAnsi="Times New Roman" w:eastAsia="Times New Roman"/>
                <w:color w:val="auto"/>
                <w:sz w:val="21"/>
                <w:lang w:val="en-US"/>
              </w:rPr>
              <w:t>4.1%</w:t>
            </w:r>
            <w:r>
              <w:rPr>
                <w:rFonts w:hint="eastAsia" w:ascii="宋体" w:hAnsi="宋体"/>
                <w:color w:val="auto"/>
                <w:sz w:val="21"/>
                <w:lang w:val="zh-CN"/>
              </w:rPr>
              <w:t>。专家预测，我国抑郁症患病率将呈上升趋势。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10212" w:type="dxa"/>
            <w:gridSpan w:val="8"/>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color w:val="auto"/>
                <w:sz w:val="24"/>
                <w:lang w:val="zh-CN"/>
              </w:rPr>
              <w:t>个人和社会倡导性指标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39</w:t>
            </w:r>
          </w:p>
        </w:tc>
        <w:tc>
          <w:tcPr>
            <w:tcW w:w="3458"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b/>
                <w:color w:val="auto"/>
                <w:sz w:val="24"/>
                <w:lang w:val="zh-CN"/>
              </w:rPr>
              <w:t>成人每日平均睡眠时间（小时）</w:t>
            </w:r>
          </w:p>
        </w:tc>
        <w:tc>
          <w:tcPr>
            <w:tcW w:w="2262"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6.5</w:t>
            </w:r>
          </w:p>
        </w:tc>
        <w:tc>
          <w:tcPr>
            <w:tcW w:w="2749" w:type="dxa"/>
            <w:gridSpan w:val="3"/>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7</w:t>
            </w:r>
            <w:r>
              <w:rPr>
                <w:rFonts w:hint="eastAsia" w:ascii="宋体" w:hAnsi="宋体"/>
                <w:color w:val="auto"/>
                <w:sz w:val="24"/>
                <w:lang w:val="zh-CN"/>
              </w:rPr>
              <w:t>～</w:t>
            </w:r>
            <w:r>
              <w:rPr>
                <w:rFonts w:hint="default" w:ascii="Times New Roman" w:hAnsi="Times New Roman" w:eastAsia="Times New Roman"/>
                <w:color w:val="auto"/>
                <w:sz w:val="24"/>
                <w:lang w:val="en-US"/>
              </w:rPr>
              <w:t>8</w:t>
            </w:r>
          </w:p>
        </w:tc>
        <w:tc>
          <w:tcPr>
            <w:tcW w:w="105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倡导性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9519" w:type="dxa"/>
            <w:gridSpan w:val="7"/>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color w:val="auto"/>
                <w:sz w:val="21"/>
                <w:lang w:val="zh-CN"/>
              </w:rPr>
              <w:t>说明：长期的睡眠不足会加大患心脑血管疾病、抑郁症、糖尿病和肥胖的风险，损害认知功能、记忆力和免疫系统。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40</w:t>
            </w:r>
          </w:p>
        </w:tc>
        <w:tc>
          <w:tcPr>
            <w:tcW w:w="8469" w:type="dxa"/>
            <w:gridSpan w:val="6"/>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b/>
                <w:color w:val="auto"/>
                <w:sz w:val="24"/>
                <w:lang w:val="zh-CN"/>
              </w:rPr>
              <w:t>鼓励个人正确认识抑郁和焦虑症状，掌握基本的情绪管理、压力管理等自我心理调适方法</w:t>
            </w:r>
          </w:p>
        </w:tc>
        <w:tc>
          <w:tcPr>
            <w:tcW w:w="105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倡导性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41</w:t>
            </w:r>
          </w:p>
        </w:tc>
        <w:tc>
          <w:tcPr>
            <w:tcW w:w="8469" w:type="dxa"/>
            <w:gridSpan w:val="6"/>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b/>
                <w:color w:val="auto"/>
                <w:sz w:val="24"/>
                <w:lang w:val="zh-CN"/>
              </w:rPr>
              <w:t>各类临床医务人员主动掌握心理健康知识和技能，应用于临床诊疗活动中</w:t>
            </w:r>
          </w:p>
        </w:tc>
        <w:tc>
          <w:tcPr>
            <w:tcW w:w="105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倡导性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10212" w:type="dxa"/>
            <w:gridSpan w:val="8"/>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color w:val="auto"/>
                <w:sz w:val="24"/>
                <w:lang w:val="zh-CN"/>
              </w:rPr>
              <w:t>政府工作指标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42</w:t>
            </w:r>
          </w:p>
        </w:tc>
        <w:tc>
          <w:tcPr>
            <w:tcW w:w="3458"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b/>
                <w:color w:val="auto"/>
                <w:sz w:val="24"/>
                <w:lang w:val="zh-CN"/>
              </w:rPr>
              <w:t>精神科执业（助理）医师（名</w:t>
            </w:r>
            <w:r>
              <w:rPr>
                <w:rFonts w:hint="default" w:ascii="Times New Roman" w:hAnsi="Times New Roman" w:eastAsia="Times New Roman"/>
                <w:b/>
                <w:color w:val="auto"/>
                <w:sz w:val="24"/>
                <w:lang w:val="en-US"/>
              </w:rPr>
              <w:t>/10</w:t>
            </w:r>
            <w:r>
              <w:rPr>
                <w:rFonts w:hint="eastAsia" w:ascii="宋体" w:hAnsi="宋体"/>
                <w:b/>
                <w:color w:val="auto"/>
                <w:sz w:val="24"/>
                <w:lang w:val="zh-CN"/>
              </w:rPr>
              <w:t>万人）</w:t>
            </w:r>
          </w:p>
        </w:tc>
        <w:tc>
          <w:tcPr>
            <w:tcW w:w="2262"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2.55</w:t>
            </w:r>
          </w:p>
        </w:tc>
        <w:tc>
          <w:tcPr>
            <w:tcW w:w="851"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3.3</w:t>
            </w:r>
          </w:p>
        </w:tc>
        <w:tc>
          <w:tcPr>
            <w:tcW w:w="1898"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4.5</w:t>
            </w:r>
          </w:p>
        </w:tc>
        <w:tc>
          <w:tcPr>
            <w:tcW w:w="105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9519" w:type="dxa"/>
            <w:gridSpan w:val="7"/>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default" w:ascii="Times New Roman" w:hAnsi="Times New Roman" w:eastAsia="Times New Roman"/>
                <w:color w:val="auto"/>
                <w:sz w:val="21"/>
                <w:lang w:val="en-US"/>
              </w:rPr>
            </w:pPr>
            <w:r>
              <w:rPr>
                <w:rFonts w:hint="eastAsia" w:ascii="宋体" w:hAnsi="宋体"/>
                <w:color w:val="auto"/>
                <w:sz w:val="21"/>
                <w:lang w:val="zh-CN"/>
              </w:rPr>
              <w:t>说明：</w:t>
            </w:r>
            <w:r>
              <w:rPr>
                <w:rFonts w:hint="default" w:ascii="Times New Roman" w:hAnsi="Times New Roman" w:eastAsia="Times New Roman"/>
                <w:color w:val="auto"/>
                <w:sz w:val="21"/>
                <w:lang w:val="en-US"/>
              </w:rPr>
              <w:t>2015</w:t>
            </w:r>
            <w:r>
              <w:rPr>
                <w:rFonts w:hint="eastAsia" w:ascii="宋体" w:hAnsi="宋体"/>
                <w:color w:val="auto"/>
                <w:sz w:val="21"/>
                <w:lang w:val="zh-CN"/>
              </w:rPr>
              <w:t>年，中高收入国家精神科医师</w:t>
            </w:r>
            <w:r>
              <w:rPr>
                <w:rFonts w:hint="default" w:ascii="Times New Roman" w:hAnsi="Times New Roman" w:eastAsia="Times New Roman"/>
                <w:color w:val="auto"/>
                <w:sz w:val="21"/>
                <w:lang w:val="en-US"/>
              </w:rPr>
              <w:t>6.6</w:t>
            </w:r>
            <w:r>
              <w:rPr>
                <w:rFonts w:hint="eastAsia" w:ascii="宋体" w:hAnsi="宋体"/>
                <w:color w:val="auto"/>
                <w:sz w:val="21"/>
                <w:lang w:val="zh-CN"/>
              </w:rPr>
              <w:t>名</w:t>
            </w:r>
            <w:r>
              <w:rPr>
                <w:rFonts w:hint="default" w:ascii="Times New Roman" w:hAnsi="Times New Roman" w:eastAsia="Times New Roman"/>
                <w:color w:val="auto"/>
                <w:sz w:val="21"/>
                <w:lang w:val="en-US"/>
              </w:rPr>
              <w:t>/10</w:t>
            </w:r>
            <w:r>
              <w:rPr>
                <w:rFonts w:hint="eastAsia" w:ascii="宋体" w:hAnsi="宋体"/>
                <w:color w:val="auto"/>
                <w:sz w:val="21"/>
                <w:lang w:val="zh-CN"/>
              </w:rPr>
              <w:t>万。</w:t>
            </w:r>
          </w:p>
          <w:p>
            <w:pPr>
              <w:spacing w:beforeLines="0" w:afterLines="0"/>
              <w:rPr>
                <w:rFonts w:hint="eastAsia" w:ascii="宋体" w:hAnsi="宋体"/>
                <w:color w:val="auto"/>
                <w:sz w:val="22"/>
                <w:lang w:val="zh-CN"/>
              </w:rPr>
            </w:pPr>
            <w:r>
              <w:rPr>
                <w:rFonts w:hint="eastAsia" w:ascii="宋体" w:hAnsi="宋体"/>
                <w:color w:val="auto"/>
                <w:sz w:val="21"/>
                <w:lang w:val="zh-CN"/>
              </w:rPr>
              <w:t>计算方法：我国精神科执业（助理）医师人数</w:t>
            </w:r>
            <w:r>
              <w:rPr>
                <w:rFonts w:hint="default" w:ascii="Times New Roman" w:hAnsi="Times New Roman" w:eastAsia="Times New Roman"/>
                <w:color w:val="auto"/>
                <w:sz w:val="21"/>
                <w:lang w:val="en-US"/>
              </w:rPr>
              <w:t>/</w:t>
            </w:r>
            <w:r>
              <w:rPr>
                <w:rFonts w:hint="eastAsia" w:ascii="宋体" w:hAnsi="宋体"/>
                <w:color w:val="auto"/>
                <w:sz w:val="21"/>
                <w:lang w:val="zh-CN"/>
              </w:rPr>
              <w:t>人口总数×</w:t>
            </w:r>
            <w:r>
              <w:rPr>
                <w:rFonts w:hint="default" w:ascii="Times New Roman" w:hAnsi="Times New Roman" w:eastAsia="Times New Roman"/>
                <w:color w:val="auto"/>
                <w:sz w:val="21"/>
                <w:lang w:val="en-US"/>
              </w:rPr>
              <w:t>10</w:t>
            </w:r>
            <w:r>
              <w:rPr>
                <w:rFonts w:hint="eastAsia" w:ascii="宋体" w:hAnsi="宋体"/>
                <w:color w:val="auto"/>
                <w:sz w:val="21"/>
                <w:lang w:val="zh-CN"/>
              </w:rPr>
              <w:t>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3" w:hRule="atLeast"/>
          <w:jc w:val="center"/>
        </w:trPr>
        <w:tc>
          <w:tcPr>
            <w:tcW w:w="695"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default" w:ascii="Times New Roman" w:hAnsi="Times New Roman" w:eastAsia="Times New Roman"/>
                <w:color w:val="auto"/>
                <w:sz w:val="24"/>
                <w:lang w:val="en-US"/>
              </w:rPr>
            </w:pPr>
          </w:p>
          <w:p>
            <w:pPr>
              <w:spacing w:beforeLines="0" w:afterLines="0"/>
              <w:jc w:val="center"/>
              <w:rPr>
                <w:rFonts w:hint="default" w:ascii="Times New Roman" w:hAnsi="Times New Roman" w:eastAsia="Times New Roman"/>
                <w:color w:val="auto"/>
                <w:sz w:val="32"/>
                <w:lang w:val="en-US"/>
              </w:rPr>
            </w:pPr>
          </w:p>
          <w:p>
            <w:pPr>
              <w:spacing w:beforeLines="0" w:afterLines="0"/>
              <w:jc w:val="center"/>
              <w:rPr>
                <w:rFonts w:hint="default" w:ascii="Times New Roman" w:hAnsi="Times New Roman" w:eastAsia="Times New Roman"/>
                <w:color w:val="auto"/>
                <w:sz w:val="32"/>
                <w:lang w:val="en-US"/>
              </w:rPr>
            </w:pPr>
          </w:p>
          <w:p>
            <w:pPr>
              <w:spacing w:beforeLines="0" w:afterLines="0"/>
              <w:jc w:val="center"/>
              <w:rPr>
                <w:rFonts w:hint="default" w:ascii="Times New Roman" w:hAnsi="Times New Roman" w:eastAsia="Times New Roman"/>
                <w:color w:val="auto"/>
                <w:sz w:val="21"/>
                <w:lang w:val="en-US"/>
              </w:rPr>
            </w:pPr>
            <w:r>
              <w:rPr>
                <w:rFonts w:hint="eastAsia" w:ascii="宋体" w:hAnsi="宋体"/>
                <w:color w:val="auto"/>
                <w:sz w:val="21"/>
                <w:lang w:val="zh-CN"/>
              </w:rPr>
              <w:t>（六）</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健</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康</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环</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境</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促</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进</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行</w:t>
            </w:r>
          </w:p>
          <w:p>
            <w:pPr>
              <w:spacing w:beforeLines="0" w:afterLines="0"/>
              <w:jc w:val="center"/>
              <w:rPr>
                <w:rFonts w:hint="default" w:ascii="Times New Roman" w:hAnsi="Times New Roman" w:eastAsia="Times New Roman"/>
                <w:color w:val="auto"/>
                <w:sz w:val="32"/>
                <w:lang w:val="en-US"/>
              </w:rPr>
            </w:pPr>
            <w:r>
              <w:rPr>
                <w:rFonts w:hint="eastAsia" w:ascii="宋体" w:hAnsi="宋体"/>
                <w:color w:val="auto"/>
                <w:sz w:val="24"/>
                <w:lang w:val="zh-CN"/>
              </w:rPr>
              <w:t>动</w:t>
            </w:r>
          </w:p>
          <w:p>
            <w:pPr>
              <w:spacing w:beforeLines="0" w:afterLines="0"/>
              <w:jc w:val="center"/>
              <w:rPr>
                <w:rFonts w:hint="default" w:ascii="Times New Roman" w:hAnsi="Times New Roman" w:eastAsia="Times New Roman"/>
                <w:color w:val="auto"/>
                <w:sz w:val="21"/>
                <w:lang w:val="en-US"/>
              </w:rPr>
            </w:pPr>
          </w:p>
          <w:p>
            <w:pPr>
              <w:spacing w:beforeLines="0" w:afterLines="0"/>
              <w:jc w:val="center"/>
              <w:rPr>
                <w:rFonts w:hint="default" w:ascii="Times New Roman" w:hAnsi="Times New Roman" w:eastAsia="Times New Roman"/>
                <w:color w:val="auto"/>
                <w:sz w:val="21"/>
                <w:lang w:val="en-US"/>
              </w:rPr>
            </w:pPr>
          </w:p>
          <w:p>
            <w:pPr>
              <w:spacing w:beforeLines="0" w:afterLines="0"/>
              <w:jc w:val="center"/>
              <w:rPr>
                <w:rFonts w:hint="default" w:ascii="Times New Roman" w:hAnsi="Times New Roman" w:eastAsia="Times New Roman"/>
                <w:color w:val="auto"/>
                <w:sz w:val="21"/>
                <w:lang w:val="en-US"/>
              </w:rPr>
            </w:pPr>
          </w:p>
          <w:p>
            <w:pPr>
              <w:spacing w:beforeLines="0" w:afterLines="0"/>
              <w:jc w:val="center"/>
              <w:rPr>
                <w:rFonts w:hint="default" w:ascii="Times New Roman" w:hAnsi="Times New Roman" w:eastAsia="Times New Roman"/>
                <w:color w:val="auto"/>
                <w:sz w:val="24"/>
                <w:lang w:val="en-US"/>
              </w:rPr>
            </w:pPr>
          </w:p>
          <w:p>
            <w:pPr>
              <w:spacing w:beforeLines="0" w:afterLines="0"/>
              <w:jc w:val="center"/>
              <w:rPr>
                <w:rFonts w:hint="eastAsia" w:ascii="宋体" w:hAnsi="宋体"/>
                <w:color w:val="auto"/>
                <w:sz w:val="22"/>
                <w:lang w:val="zh-CN"/>
              </w:rPr>
            </w:pPr>
          </w:p>
        </w:tc>
        <w:tc>
          <w:tcPr>
            <w:tcW w:w="10212" w:type="dxa"/>
            <w:gridSpan w:val="8"/>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color w:val="auto"/>
                <w:sz w:val="24"/>
                <w:lang w:val="zh-CN"/>
              </w:rPr>
              <w:t>结果性指标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43</w:t>
            </w:r>
          </w:p>
        </w:tc>
        <w:tc>
          <w:tcPr>
            <w:tcW w:w="3458"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b/>
                <w:color w:val="auto"/>
                <w:sz w:val="24"/>
                <w:lang w:val="zh-CN"/>
              </w:rPr>
              <w:t>居民饮用水水质达标情况</w:t>
            </w:r>
          </w:p>
        </w:tc>
        <w:tc>
          <w:tcPr>
            <w:tcW w:w="2262"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宋体" w:hAnsi="宋体"/>
                <w:color w:val="auto"/>
                <w:sz w:val="24"/>
                <w:lang w:val="zh-CN"/>
              </w:rPr>
              <w:t>—</w:t>
            </w:r>
          </w:p>
        </w:tc>
        <w:tc>
          <w:tcPr>
            <w:tcW w:w="851"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明显改善</w:t>
            </w:r>
          </w:p>
        </w:tc>
        <w:tc>
          <w:tcPr>
            <w:tcW w:w="1898"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持续</w:t>
            </w:r>
          </w:p>
          <w:p>
            <w:pPr>
              <w:spacing w:beforeLines="0" w:afterLines="0"/>
              <w:jc w:val="center"/>
              <w:rPr>
                <w:rFonts w:hint="eastAsia" w:ascii="宋体" w:hAnsi="宋体"/>
                <w:color w:val="auto"/>
                <w:sz w:val="22"/>
                <w:lang w:val="zh-CN"/>
              </w:rPr>
            </w:pPr>
            <w:r>
              <w:rPr>
                <w:rFonts w:hint="eastAsia" w:ascii="宋体" w:hAnsi="宋体"/>
                <w:color w:val="auto"/>
                <w:sz w:val="24"/>
                <w:lang w:val="zh-CN"/>
              </w:rPr>
              <w:t>改善</w:t>
            </w:r>
          </w:p>
        </w:tc>
        <w:tc>
          <w:tcPr>
            <w:tcW w:w="105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8"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9519" w:type="dxa"/>
            <w:gridSpan w:val="7"/>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color w:val="auto"/>
                <w:sz w:val="21"/>
                <w:lang w:val="zh-CN"/>
              </w:rPr>
              <w:t>说明：指当地居民饮用水的水质达标情况，包括出厂水和末梢水水质达标状况。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3"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44</w:t>
            </w:r>
          </w:p>
        </w:tc>
        <w:tc>
          <w:tcPr>
            <w:tcW w:w="3458"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left"/>
              <w:rPr>
                <w:rFonts w:hint="eastAsia" w:ascii="宋体" w:hAnsi="宋体"/>
                <w:color w:val="auto"/>
                <w:sz w:val="22"/>
                <w:lang w:val="zh-CN"/>
              </w:rPr>
            </w:pPr>
            <w:r>
              <w:rPr>
                <w:rFonts w:hint="eastAsia" w:ascii="宋体" w:hAnsi="宋体"/>
                <w:b/>
                <w:color w:val="auto"/>
                <w:sz w:val="24"/>
                <w:lang w:val="zh-CN"/>
              </w:rPr>
              <w:t>居民环境与健康素养水平（</w:t>
            </w:r>
            <w:r>
              <w:rPr>
                <w:rFonts w:hint="default" w:ascii="Times New Roman" w:hAnsi="Times New Roman" w:eastAsia="Times New Roman"/>
                <w:b/>
                <w:color w:val="auto"/>
                <w:sz w:val="24"/>
                <w:lang w:val="en-US"/>
              </w:rPr>
              <w:t>%</w:t>
            </w:r>
            <w:r>
              <w:rPr>
                <w:rFonts w:hint="eastAsia" w:ascii="宋体" w:hAnsi="宋体"/>
                <w:b/>
                <w:color w:val="auto"/>
                <w:sz w:val="24"/>
                <w:lang w:val="zh-CN"/>
              </w:rPr>
              <w:t>）</w:t>
            </w:r>
          </w:p>
        </w:tc>
        <w:tc>
          <w:tcPr>
            <w:tcW w:w="2262"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2018</w:t>
            </w:r>
            <w:r>
              <w:rPr>
                <w:rFonts w:hint="eastAsia" w:ascii="宋体" w:hAnsi="宋体"/>
                <w:color w:val="auto"/>
                <w:sz w:val="24"/>
                <w:lang w:val="zh-CN"/>
              </w:rPr>
              <w:t>年为</w:t>
            </w:r>
            <w:r>
              <w:rPr>
                <w:rFonts w:hint="default" w:ascii="Times New Roman" w:hAnsi="Times New Roman" w:eastAsia="Times New Roman"/>
                <w:color w:val="auto"/>
                <w:sz w:val="24"/>
                <w:lang w:val="en-US"/>
              </w:rPr>
              <w:t>12.5</w:t>
            </w:r>
          </w:p>
        </w:tc>
        <w:tc>
          <w:tcPr>
            <w:tcW w:w="851"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w:t>
            </w:r>
            <w:r>
              <w:rPr>
                <w:rFonts w:hint="default" w:ascii="Times New Roman" w:hAnsi="Times New Roman" w:eastAsia="Times New Roman"/>
                <w:color w:val="auto"/>
                <w:sz w:val="24"/>
                <w:lang w:val="en-US"/>
              </w:rPr>
              <w:t>15</w:t>
            </w:r>
          </w:p>
          <w:p>
            <w:pPr>
              <w:spacing w:beforeLines="0" w:afterLines="0"/>
              <w:jc w:val="center"/>
              <w:rPr>
                <w:rFonts w:hint="eastAsia" w:ascii="宋体" w:hAnsi="宋体"/>
                <w:color w:val="auto"/>
                <w:sz w:val="22"/>
                <w:lang w:val="zh-CN"/>
              </w:rPr>
            </w:pPr>
          </w:p>
        </w:tc>
        <w:tc>
          <w:tcPr>
            <w:tcW w:w="1898"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w:t>
            </w:r>
            <w:r>
              <w:rPr>
                <w:rFonts w:hint="default" w:ascii="Times New Roman" w:hAnsi="Times New Roman" w:eastAsia="Times New Roman"/>
                <w:color w:val="auto"/>
                <w:sz w:val="24"/>
                <w:lang w:val="en-US"/>
              </w:rPr>
              <w:t>25</w:t>
            </w:r>
          </w:p>
          <w:p>
            <w:pPr>
              <w:spacing w:beforeLines="0" w:afterLines="0"/>
              <w:jc w:val="center"/>
              <w:rPr>
                <w:rFonts w:hint="eastAsia" w:ascii="宋体" w:hAnsi="宋体"/>
                <w:color w:val="auto"/>
                <w:sz w:val="22"/>
                <w:lang w:val="zh-CN"/>
              </w:rPr>
            </w:pPr>
          </w:p>
        </w:tc>
        <w:tc>
          <w:tcPr>
            <w:tcW w:w="105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48"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9519" w:type="dxa"/>
            <w:gridSpan w:val="7"/>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default" w:ascii="Times New Roman" w:hAnsi="Times New Roman" w:eastAsia="Times New Roman"/>
                <w:color w:val="auto"/>
                <w:sz w:val="21"/>
                <w:lang w:val="en-US"/>
              </w:rPr>
            </w:pPr>
            <w:r>
              <w:rPr>
                <w:rFonts w:hint="eastAsia" w:ascii="宋体" w:hAnsi="宋体"/>
                <w:color w:val="auto"/>
                <w:sz w:val="21"/>
                <w:lang w:val="zh-CN"/>
              </w:rPr>
              <w:t>说明：环境与健康素养是指个人获取并理解环境与健康基本知识，同时运用这些知识对常见的环境与健康问题做出正确判断，树立科学观念并具备采取行动保护环境、维护自身健康的能力。</w:t>
            </w:r>
          </w:p>
          <w:p>
            <w:pPr>
              <w:spacing w:beforeLines="0" w:afterLines="0"/>
              <w:rPr>
                <w:rFonts w:hint="default" w:ascii="Times New Roman" w:hAnsi="Times New Roman" w:eastAsia="Times New Roman"/>
                <w:color w:val="auto"/>
                <w:sz w:val="21"/>
                <w:lang w:val="en-US"/>
              </w:rPr>
            </w:pPr>
            <w:r>
              <w:rPr>
                <w:rFonts w:hint="eastAsia" w:ascii="宋体" w:hAnsi="宋体"/>
                <w:color w:val="auto"/>
                <w:sz w:val="21"/>
                <w:lang w:val="zh-CN"/>
              </w:rPr>
              <w:t>环境与健康素养水平是指具备环境与健康素养的人数占监测人群总数的百分比。</w:t>
            </w:r>
          </w:p>
          <w:p>
            <w:pPr>
              <w:spacing w:beforeLines="0" w:afterLines="0"/>
              <w:rPr>
                <w:rFonts w:hint="eastAsia" w:ascii="宋体" w:hAnsi="宋体"/>
                <w:color w:val="auto"/>
                <w:sz w:val="22"/>
                <w:lang w:val="zh-CN"/>
              </w:rPr>
            </w:pPr>
            <w:r>
              <w:rPr>
                <w:rFonts w:hint="eastAsia" w:ascii="宋体" w:hAnsi="宋体"/>
                <w:color w:val="auto"/>
                <w:sz w:val="21"/>
                <w:lang w:val="zh-CN"/>
              </w:rPr>
              <w:t>计算方法：具备该素养的人数</w:t>
            </w:r>
            <w:r>
              <w:rPr>
                <w:rFonts w:hint="default" w:ascii="Times New Roman" w:hAnsi="Times New Roman" w:eastAsia="Times New Roman"/>
                <w:color w:val="auto"/>
                <w:sz w:val="21"/>
                <w:lang w:val="en-US"/>
              </w:rPr>
              <w:t>/</w:t>
            </w:r>
            <w:r>
              <w:rPr>
                <w:rFonts w:hint="eastAsia" w:ascii="宋体" w:hAnsi="宋体"/>
                <w:color w:val="auto"/>
                <w:sz w:val="21"/>
                <w:lang w:val="zh-CN"/>
              </w:rPr>
              <w:t>监测人群总人数×</w:t>
            </w:r>
            <w:r>
              <w:rPr>
                <w:rFonts w:hint="default" w:ascii="Times New Roman" w:hAnsi="Times New Roman" w:eastAsia="Times New Roman"/>
                <w:color w:val="auto"/>
                <w:sz w:val="21"/>
                <w:lang w:val="en-US"/>
              </w:rPr>
              <w:t>100%</w:t>
            </w:r>
            <w:r>
              <w:rPr>
                <w:rFonts w:hint="eastAsia" w:ascii="宋体" w:hAnsi="宋体"/>
                <w:color w:val="auto"/>
                <w:sz w:val="21"/>
                <w:lang w:val="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10212" w:type="dxa"/>
            <w:gridSpan w:val="8"/>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color w:val="auto"/>
                <w:sz w:val="24"/>
                <w:lang w:val="zh-CN"/>
              </w:rPr>
              <w:t>个人和社会倡导性指标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35"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45</w:t>
            </w:r>
          </w:p>
        </w:tc>
        <w:tc>
          <w:tcPr>
            <w:tcW w:w="8469" w:type="dxa"/>
            <w:gridSpan w:val="6"/>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b/>
                <w:color w:val="auto"/>
                <w:sz w:val="24"/>
                <w:lang w:val="zh-CN"/>
              </w:rPr>
              <w:t>积极实施垃圾分类并及时清理，将固体废弃物主动投放到相应的回收地点及设施中</w:t>
            </w:r>
          </w:p>
        </w:tc>
        <w:tc>
          <w:tcPr>
            <w:tcW w:w="105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倡导性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35"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46</w:t>
            </w:r>
          </w:p>
        </w:tc>
        <w:tc>
          <w:tcPr>
            <w:tcW w:w="8469" w:type="dxa"/>
            <w:gridSpan w:val="6"/>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b/>
                <w:color w:val="auto"/>
                <w:sz w:val="24"/>
                <w:lang w:val="zh-CN"/>
              </w:rPr>
              <w:t>防治室内空气污染，提倡简约绿色装饰，做好室内油烟排风，提高家居环境水平</w:t>
            </w:r>
          </w:p>
        </w:tc>
        <w:tc>
          <w:tcPr>
            <w:tcW w:w="105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倡导性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35"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47</w:t>
            </w:r>
          </w:p>
        </w:tc>
        <w:tc>
          <w:tcPr>
            <w:tcW w:w="8469" w:type="dxa"/>
            <w:gridSpan w:val="6"/>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b/>
                <w:color w:val="auto"/>
                <w:sz w:val="24"/>
                <w:lang w:val="zh-CN"/>
              </w:rPr>
              <w:t>学校、医院、车站、大型商场、电影院等人员密集的地方应定期开展火灾、地震等自然灾害及突发事件的应急演练</w:t>
            </w:r>
          </w:p>
        </w:tc>
        <w:tc>
          <w:tcPr>
            <w:tcW w:w="105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倡导性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9"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48</w:t>
            </w:r>
          </w:p>
        </w:tc>
        <w:tc>
          <w:tcPr>
            <w:tcW w:w="8469" w:type="dxa"/>
            <w:gridSpan w:val="6"/>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b/>
                <w:color w:val="auto"/>
                <w:sz w:val="24"/>
                <w:lang w:val="zh-CN"/>
              </w:rPr>
              <w:t>提高自身健康防护意识和能力，学会识别常见的危险标识、化学品安全标签及环境保护图形标志</w:t>
            </w:r>
          </w:p>
        </w:tc>
        <w:tc>
          <w:tcPr>
            <w:tcW w:w="105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倡导性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jc w:val="center"/>
        </w:trPr>
        <w:tc>
          <w:tcPr>
            <w:tcW w:w="695"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default" w:ascii="Times New Roman" w:hAnsi="Times New Roman" w:eastAsia="Times New Roman"/>
                <w:color w:val="auto"/>
                <w:sz w:val="21"/>
                <w:lang w:val="en-US"/>
              </w:rPr>
            </w:pPr>
          </w:p>
          <w:p>
            <w:pPr>
              <w:spacing w:beforeLines="0" w:afterLines="0"/>
              <w:jc w:val="center"/>
              <w:rPr>
                <w:rFonts w:hint="default" w:ascii="Times New Roman" w:hAnsi="Times New Roman" w:eastAsia="Times New Roman"/>
                <w:color w:val="auto"/>
                <w:sz w:val="21"/>
                <w:lang w:val="en-US"/>
              </w:rPr>
            </w:pPr>
          </w:p>
          <w:p>
            <w:pPr>
              <w:spacing w:beforeLines="0" w:afterLines="0"/>
              <w:jc w:val="center"/>
              <w:rPr>
                <w:rFonts w:hint="default" w:ascii="Times New Roman" w:hAnsi="Times New Roman" w:eastAsia="Times New Roman"/>
                <w:color w:val="auto"/>
                <w:sz w:val="21"/>
                <w:lang w:val="en-US"/>
              </w:rPr>
            </w:pPr>
          </w:p>
          <w:p>
            <w:pPr>
              <w:spacing w:beforeLines="0" w:afterLines="0"/>
              <w:jc w:val="center"/>
              <w:rPr>
                <w:rFonts w:hint="default" w:ascii="Times New Roman" w:hAnsi="Times New Roman" w:eastAsia="Times New Roman"/>
                <w:color w:val="auto"/>
                <w:sz w:val="21"/>
                <w:lang w:val="en-US"/>
              </w:rPr>
            </w:pPr>
          </w:p>
          <w:p>
            <w:pPr>
              <w:spacing w:beforeLines="0" w:afterLines="0"/>
              <w:jc w:val="center"/>
              <w:rPr>
                <w:rFonts w:hint="default" w:ascii="Times New Roman" w:hAnsi="Times New Roman" w:eastAsia="Times New Roman"/>
                <w:color w:val="auto"/>
                <w:sz w:val="21"/>
                <w:lang w:val="en-US"/>
              </w:rPr>
            </w:pPr>
          </w:p>
          <w:p>
            <w:pPr>
              <w:spacing w:beforeLines="0" w:afterLines="0"/>
              <w:jc w:val="center"/>
              <w:rPr>
                <w:rFonts w:hint="default" w:ascii="Times New Roman" w:hAnsi="Times New Roman" w:eastAsia="Times New Roman"/>
                <w:color w:val="auto"/>
                <w:sz w:val="21"/>
                <w:lang w:val="en-US"/>
              </w:rPr>
            </w:pPr>
          </w:p>
          <w:p>
            <w:pPr>
              <w:spacing w:beforeLines="0" w:afterLines="0"/>
              <w:jc w:val="center"/>
              <w:rPr>
                <w:rFonts w:hint="default" w:ascii="Times New Roman" w:hAnsi="Times New Roman" w:eastAsia="Times New Roman"/>
                <w:color w:val="auto"/>
                <w:sz w:val="21"/>
                <w:lang w:val="en-US"/>
              </w:rPr>
            </w:pPr>
          </w:p>
          <w:p>
            <w:pPr>
              <w:spacing w:beforeLines="0" w:afterLines="0"/>
              <w:jc w:val="center"/>
              <w:rPr>
                <w:rFonts w:hint="default" w:ascii="Times New Roman" w:hAnsi="Times New Roman" w:eastAsia="Times New Roman"/>
                <w:color w:val="auto"/>
                <w:sz w:val="21"/>
                <w:lang w:val="en-US"/>
              </w:rPr>
            </w:pPr>
          </w:p>
          <w:p>
            <w:pPr>
              <w:spacing w:beforeLines="0" w:afterLines="0"/>
              <w:jc w:val="center"/>
              <w:rPr>
                <w:rFonts w:hint="default" w:ascii="Times New Roman" w:hAnsi="Times New Roman" w:eastAsia="Times New Roman"/>
                <w:color w:val="auto"/>
                <w:sz w:val="21"/>
                <w:lang w:val="en-US"/>
              </w:rPr>
            </w:pPr>
          </w:p>
          <w:p>
            <w:pPr>
              <w:spacing w:beforeLines="0" w:afterLines="0"/>
              <w:jc w:val="center"/>
              <w:rPr>
                <w:rFonts w:hint="default" w:ascii="Times New Roman" w:hAnsi="Times New Roman" w:eastAsia="Times New Roman"/>
                <w:color w:val="auto"/>
                <w:sz w:val="21"/>
                <w:lang w:val="en-US"/>
              </w:rPr>
            </w:pPr>
          </w:p>
          <w:p>
            <w:pPr>
              <w:spacing w:beforeLines="0" w:afterLines="0"/>
              <w:jc w:val="center"/>
              <w:rPr>
                <w:rFonts w:hint="default" w:ascii="Times New Roman" w:hAnsi="Times New Roman" w:eastAsia="Times New Roman"/>
                <w:color w:val="auto"/>
                <w:sz w:val="21"/>
                <w:lang w:val="en-US"/>
              </w:rPr>
            </w:pPr>
          </w:p>
          <w:p>
            <w:pPr>
              <w:spacing w:beforeLines="0" w:afterLines="0"/>
              <w:jc w:val="center"/>
              <w:rPr>
                <w:rFonts w:hint="default" w:ascii="Times New Roman" w:hAnsi="Times New Roman" w:eastAsia="Times New Roman"/>
                <w:color w:val="auto"/>
                <w:sz w:val="21"/>
                <w:lang w:val="en-US"/>
              </w:rPr>
            </w:pPr>
          </w:p>
          <w:p>
            <w:pPr>
              <w:spacing w:beforeLines="0" w:afterLines="0"/>
              <w:jc w:val="center"/>
              <w:rPr>
                <w:rFonts w:hint="default" w:ascii="Times New Roman" w:hAnsi="Times New Roman" w:eastAsia="Times New Roman"/>
                <w:color w:val="auto"/>
                <w:sz w:val="21"/>
                <w:lang w:val="en-US"/>
              </w:rPr>
            </w:pPr>
          </w:p>
          <w:p>
            <w:pPr>
              <w:spacing w:beforeLines="0" w:afterLines="0"/>
              <w:jc w:val="center"/>
              <w:rPr>
                <w:rFonts w:hint="default" w:ascii="Times New Roman" w:hAnsi="Times New Roman" w:eastAsia="Times New Roman"/>
                <w:color w:val="auto"/>
                <w:sz w:val="21"/>
                <w:lang w:val="en-US"/>
              </w:rPr>
            </w:pPr>
          </w:p>
          <w:p>
            <w:pPr>
              <w:spacing w:beforeLines="0" w:afterLines="0"/>
              <w:jc w:val="center"/>
              <w:rPr>
                <w:rFonts w:hint="default" w:ascii="Times New Roman" w:hAnsi="Times New Roman" w:eastAsia="Times New Roman"/>
                <w:color w:val="auto"/>
                <w:sz w:val="21"/>
                <w:lang w:val="en-US"/>
              </w:rPr>
            </w:pPr>
          </w:p>
          <w:p>
            <w:pPr>
              <w:spacing w:beforeLines="0" w:afterLines="0"/>
              <w:jc w:val="center"/>
              <w:rPr>
                <w:rFonts w:hint="default" w:ascii="Times New Roman" w:hAnsi="Times New Roman" w:eastAsia="Times New Roman"/>
                <w:color w:val="auto"/>
                <w:sz w:val="21"/>
                <w:lang w:val="en-US"/>
              </w:rPr>
            </w:pPr>
          </w:p>
          <w:p>
            <w:pPr>
              <w:spacing w:beforeLines="0" w:afterLines="0"/>
              <w:jc w:val="center"/>
              <w:rPr>
                <w:rFonts w:hint="default" w:ascii="Times New Roman" w:hAnsi="Times New Roman" w:eastAsia="Times New Roman"/>
                <w:color w:val="auto"/>
                <w:sz w:val="21"/>
                <w:lang w:val="en-US"/>
              </w:rPr>
            </w:pPr>
          </w:p>
          <w:p>
            <w:pPr>
              <w:spacing w:beforeLines="0" w:afterLines="0"/>
              <w:jc w:val="center"/>
              <w:rPr>
                <w:rFonts w:hint="default" w:ascii="Times New Roman" w:hAnsi="Times New Roman" w:eastAsia="Times New Roman"/>
                <w:color w:val="auto"/>
                <w:sz w:val="21"/>
                <w:lang w:val="en-US"/>
              </w:rPr>
            </w:pP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1"/>
                <w:lang w:val="zh-CN"/>
              </w:rPr>
              <w:t>（七）</w:t>
            </w:r>
            <w:r>
              <w:rPr>
                <w:rFonts w:hint="eastAsia" w:ascii="宋体" w:hAnsi="宋体"/>
                <w:color w:val="auto"/>
                <w:sz w:val="24"/>
                <w:lang w:val="zh-CN"/>
              </w:rPr>
              <w:t>妇</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幼</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健</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康</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促</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进</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行</w:t>
            </w:r>
          </w:p>
          <w:p>
            <w:pPr>
              <w:spacing w:beforeLines="0" w:afterLines="0"/>
              <w:jc w:val="center"/>
              <w:rPr>
                <w:rFonts w:hint="default" w:ascii="Times New Roman" w:hAnsi="Times New Roman" w:eastAsia="Times New Roman"/>
                <w:color w:val="auto"/>
                <w:sz w:val="32"/>
                <w:lang w:val="en-US"/>
              </w:rPr>
            </w:pPr>
            <w:r>
              <w:rPr>
                <w:rFonts w:hint="eastAsia" w:ascii="宋体" w:hAnsi="宋体"/>
                <w:color w:val="auto"/>
                <w:sz w:val="24"/>
                <w:lang w:val="zh-CN"/>
              </w:rPr>
              <w:t>动</w:t>
            </w:r>
          </w:p>
          <w:p>
            <w:pPr>
              <w:spacing w:beforeLines="0" w:afterLines="0"/>
              <w:jc w:val="center"/>
              <w:rPr>
                <w:rFonts w:hint="default" w:ascii="Times New Roman" w:hAnsi="Times New Roman" w:eastAsia="Times New Roman"/>
                <w:color w:val="auto"/>
                <w:sz w:val="21"/>
                <w:lang w:val="en-US"/>
              </w:rPr>
            </w:pPr>
          </w:p>
          <w:p>
            <w:pPr>
              <w:spacing w:beforeLines="0" w:afterLines="0"/>
              <w:jc w:val="center"/>
              <w:rPr>
                <w:rFonts w:hint="default" w:ascii="Times New Roman" w:hAnsi="Times New Roman" w:eastAsia="Times New Roman"/>
                <w:color w:val="auto"/>
                <w:sz w:val="21"/>
                <w:lang w:val="en-US"/>
              </w:rPr>
            </w:pPr>
          </w:p>
          <w:p>
            <w:pPr>
              <w:spacing w:beforeLines="0" w:afterLines="0"/>
              <w:jc w:val="center"/>
              <w:rPr>
                <w:rFonts w:hint="default" w:ascii="Times New Roman" w:hAnsi="Times New Roman" w:eastAsia="Times New Roman"/>
                <w:color w:val="auto"/>
                <w:sz w:val="21"/>
                <w:lang w:val="en-US"/>
              </w:rPr>
            </w:pPr>
          </w:p>
          <w:p>
            <w:pPr>
              <w:spacing w:beforeLines="0" w:afterLines="0"/>
              <w:jc w:val="center"/>
              <w:rPr>
                <w:rFonts w:hint="default" w:ascii="Times New Roman" w:hAnsi="Times New Roman" w:eastAsia="Times New Roman"/>
                <w:color w:val="auto"/>
                <w:sz w:val="21"/>
                <w:lang w:val="en-US"/>
              </w:rPr>
            </w:pPr>
          </w:p>
          <w:p>
            <w:pPr>
              <w:spacing w:beforeLines="0" w:afterLines="0"/>
              <w:jc w:val="center"/>
              <w:rPr>
                <w:rFonts w:hint="default" w:ascii="Times New Roman" w:hAnsi="Times New Roman" w:eastAsia="Times New Roman"/>
                <w:color w:val="auto"/>
                <w:sz w:val="32"/>
                <w:lang w:val="en-US"/>
              </w:rPr>
            </w:pPr>
          </w:p>
          <w:p>
            <w:pPr>
              <w:spacing w:beforeLines="0" w:afterLines="0"/>
              <w:jc w:val="center"/>
              <w:rPr>
                <w:rFonts w:hint="eastAsia" w:ascii="宋体" w:hAnsi="宋体"/>
                <w:color w:val="auto"/>
                <w:sz w:val="22"/>
                <w:lang w:val="zh-CN"/>
              </w:rPr>
            </w:pPr>
          </w:p>
        </w:tc>
        <w:tc>
          <w:tcPr>
            <w:tcW w:w="10212" w:type="dxa"/>
            <w:gridSpan w:val="8"/>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color w:val="auto"/>
                <w:sz w:val="24"/>
                <w:lang w:val="zh-CN"/>
              </w:rPr>
              <w:t>结果性指标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49</w:t>
            </w:r>
          </w:p>
        </w:tc>
        <w:tc>
          <w:tcPr>
            <w:tcW w:w="3458"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b/>
                <w:color w:val="auto"/>
                <w:sz w:val="24"/>
                <w:lang w:val="zh-CN"/>
              </w:rPr>
              <w:t>婴儿死亡率（‰）</w:t>
            </w:r>
          </w:p>
        </w:tc>
        <w:tc>
          <w:tcPr>
            <w:tcW w:w="2262"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6.8</w:t>
            </w:r>
          </w:p>
        </w:tc>
        <w:tc>
          <w:tcPr>
            <w:tcW w:w="851"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w:t>
            </w:r>
            <w:r>
              <w:rPr>
                <w:rFonts w:hint="default" w:ascii="Times New Roman" w:hAnsi="Times New Roman" w:eastAsia="Times New Roman"/>
                <w:color w:val="auto"/>
                <w:sz w:val="24"/>
                <w:lang w:val="en-US"/>
              </w:rPr>
              <w:t>7.5</w:t>
            </w:r>
          </w:p>
        </w:tc>
        <w:tc>
          <w:tcPr>
            <w:tcW w:w="1898"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w:t>
            </w:r>
            <w:r>
              <w:rPr>
                <w:rFonts w:hint="default" w:ascii="Times New Roman" w:hAnsi="Times New Roman" w:eastAsia="Times New Roman"/>
                <w:color w:val="auto"/>
                <w:sz w:val="24"/>
                <w:lang w:val="en-US"/>
              </w:rPr>
              <w:t>5</w:t>
            </w:r>
          </w:p>
        </w:tc>
        <w:tc>
          <w:tcPr>
            <w:tcW w:w="105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color w:val="auto"/>
                <w:sz w:val="24"/>
                <w:lang w:val="zh-C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50</w:t>
            </w:r>
          </w:p>
        </w:tc>
        <w:tc>
          <w:tcPr>
            <w:tcW w:w="3458"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default" w:ascii="Times New Roman" w:hAnsi="Times New Roman" w:eastAsia="Times New Roman"/>
                <w:b/>
                <w:color w:val="auto"/>
                <w:sz w:val="24"/>
                <w:lang w:val="en-US"/>
              </w:rPr>
              <w:t>5</w:t>
            </w:r>
            <w:r>
              <w:rPr>
                <w:rFonts w:hint="eastAsia" w:ascii="宋体" w:hAnsi="宋体"/>
                <w:b/>
                <w:color w:val="auto"/>
                <w:sz w:val="24"/>
                <w:lang w:val="zh-CN"/>
              </w:rPr>
              <w:t>岁以下儿童死亡率（‰）</w:t>
            </w:r>
          </w:p>
        </w:tc>
        <w:tc>
          <w:tcPr>
            <w:tcW w:w="2262"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9.1</w:t>
            </w:r>
          </w:p>
        </w:tc>
        <w:tc>
          <w:tcPr>
            <w:tcW w:w="851"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w:t>
            </w:r>
            <w:r>
              <w:rPr>
                <w:rFonts w:hint="default" w:ascii="Times New Roman" w:hAnsi="Times New Roman" w:eastAsia="Times New Roman"/>
                <w:color w:val="auto"/>
                <w:sz w:val="24"/>
                <w:lang w:val="en-US"/>
              </w:rPr>
              <w:t>9.5</w:t>
            </w:r>
          </w:p>
        </w:tc>
        <w:tc>
          <w:tcPr>
            <w:tcW w:w="1898"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w:t>
            </w:r>
            <w:r>
              <w:rPr>
                <w:rFonts w:hint="default" w:ascii="Times New Roman" w:hAnsi="Times New Roman" w:eastAsia="Times New Roman"/>
                <w:color w:val="auto"/>
                <w:sz w:val="24"/>
                <w:lang w:val="en-US"/>
              </w:rPr>
              <w:t>6</w:t>
            </w:r>
          </w:p>
        </w:tc>
        <w:tc>
          <w:tcPr>
            <w:tcW w:w="105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51</w:t>
            </w:r>
          </w:p>
        </w:tc>
        <w:tc>
          <w:tcPr>
            <w:tcW w:w="3458"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b/>
                <w:color w:val="auto"/>
                <w:sz w:val="24"/>
                <w:lang w:val="zh-CN"/>
              </w:rPr>
              <w:t>孕产妇死亡率（</w:t>
            </w:r>
            <w:r>
              <w:rPr>
                <w:rFonts w:hint="default" w:ascii="Times New Roman" w:hAnsi="Times New Roman" w:eastAsia="Times New Roman"/>
                <w:b/>
                <w:color w:val="auto"/>
                <w:sz w:val="24"/>
                <w:lang w:val="en-US"/>
              </w:rPr>
              <w:t>1/10</w:t>
            </w:r>
            <w:r>
              <w:rPr>
                <w:rFonts w:hint="eastAsia" w:ascii="宋体" w:hAnsi="宋体"/>
                <w:b/>
                <w:color w:val="auto"/>
                <w:sz w:val="24"/>
                <w:lang w:val="zh-CN"/>
              </w:rPr>
              <w:t>万）</w:t>
            </w:r>
          </w:p>
        </w:tc>
        <w:tc>
          <w:tcPr>
            <w:tcW w:w="2262"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19.6</w:t>
            </w:r>
          </w:p>
        </w:tc>
        <w:tc>
          <w:tcPr>
            <w:tcW w:w="851"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w:t>
            </w:r>
            <w:r>
              <w:rPr>
                <w:rFonts w:hint="default" w:ascii="Times New Roman" w:hAnsi="Times New Roman" w:eastAsia="Times New Roman"/>
                <w:color w:val="auto"/>
                <w:sz w:val="24"/>
                <w:lang w:val="en-US"/>
              </w:rPr>
              <w:t>18</w:t>
            </w:r>
          </w:p>
        </w:tc>
        <w:tc>
          <w:tcPr>
            <w:tcW w:w="1898"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w:t>
            </w:r>
            <w:r>
              <w:rPr>
                <w:rFonts w:hint="default" w:ascii="Times New Roman" w:hAnsi="Times New Roman" w:eastAsia="Times New Roman"/>
                <w:color w:val="auto"/>
                <w:sz w:val="24"/>
                <w:lang w:val="en-US"/>
              </w:rPr>
              <w:t>12</w:t>
            </w:r>
          </w:p>
        </w:tc>
        <w:tc>
          <w:tcPr>
            <w:tcW w:w="105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9519" w:type="dxa"/>
            <w:gridSpan w:val="7"/>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color w:val="auto"/>
                <w:sz w:val="21"/>
                <w:lang w:val="zh-CN"/>
              </w:rPr>
              <w:t>说明：从国内外经验和发展规律看，我国妇幼健康主要指标下降到较低水平后，下降速率趋缓并进入平台期。今后一段时期，我国孕产妇死亡率、婴儿死亡率和</w:t>
            </w:r>
            <w:r>
              <w:rPr>
                <w:rFonts w:hint="default" w:ascii="Times New Roman" w:hAnsi="Times New Roman" w:eastAsia="Times New Roman"/>
                <w:color w:val="auto"/>
                <w:sz w:val="21"/>
                <w:lang w:val="en-US"/>
              </w:rPr>
              <w:t>5</w:t>
            </w:r>
            <w:r>
              <w:rPr>
                <w:rFonts w:hint="eastAsia" w:ascii="宋体" w:hAnsi="宋体"/>
                <w:color w:val="auto"/>
                <w:sz w:val="21"/>
                <w:lang w:val="zh-CN"/>
              </w:rPr>
              <w:t>岁以下儿童死亡率等主要指标将呈现基本平稳态势，省以下范围内可能会出现小幅波动。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9"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10212" w:type="dxa"/>
            <w:gridSpan w:val="8"/>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color w:val="auto"/>
                <w:sz w:val="24"/>
                <w:lang w:val="zh-CN"/>
              </w:rPr>
              <w:t>个人和社会倡导性指标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52</w:t>
            </w:r>
          </w:p>
        </w:tc>
        <w:tc>
          <w:tcPr>
            <w:tcW w:w="8469" w:type="dxa"/>
            <w:gridSpan w:val="6"/>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b/>
                <w:color w:val="auto"/>
                <w:sz w:val="24"/>
                <w:lang w:val="zh-CN"/>
              </w:rPr>
              <w:t>主动学习掌握出生缺陷防治和儿童早期发展知识</w:t>
            </w:r>
          </w:p>
        </w:tc>
        <w:tc>
          <w:tcPr>
            <w:tcW w:w="105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倡导性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4"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9519" w:type="dxa"/>
            <w:gridSpan w:val="7"/>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color w:val="auto"/>
                <w:sz w:val="21"/>
                <w:lang w:val="zh-CN"/>
              </w:rPr>
              <w:t>说明：出生缺陷严重危害儿童生存和生活质量，对家庭带来很大影响。根据</w:t>
            </w:r>
            <w:r>
              <w:rPr>
                <w:rFonts w:hint="default" w:ascii="Times New Roman" w:hAnsi="Times New Roman" w:eastAsia="Times New Roman"/>
                <w:color w:val="auto"/>
                <w:sz w:val="21"/>
                <w:lang w:val="en-US"/>
              </w:rPr>
              <w:t>2016</w:t>
            </w:r>
            <w:r>
              <w:rPr>
                <w:rFonts w:hint="eastAsia" w:ascii="宋体" w:hAnsi="宋体"/>
                <w:color w:val="auto"/>
                <w:sz w:val="21"/>
                <w:lang w:val="zh-CN"/>
              </w:rPr>
              <w:t>年调查，全球每</w:t>
            </w:r>
            <w:r>
              <w:rPr>
                <w:rFonts w:hint="default" w:ascii="Times New Roman" w:hAnsi="Times New Roman" w:eastAsia="Times New Roman"/>
                <w:color w:val="auto"/>
                <w:sz w:val="21"/>
                <w:lang w:val="en-US"/>
              </w:rPr>
              <w:t>33</w:t>
            </w:r>
            <w:r>
              <w:rPr>
                <w:rFonts w:hint="eastAsia" w:ascii="宋体" w:hAnsi="宋体"/>
                <w:color w:val="auto"/>
                <w:sz w:val="21"/>
                <w:lang w:val="zh-CN"/>
              </w:rPr>
              <w:t>个婴儿就有</w:t>
            </w:r>
            <w:r>
              <w:rPr>
                <w:rFonts w:hint="default" w:ascii="Times New Roman" w:hAnsi="Times New Roman" w:eastAsia="Times New Roman"/>
                <w:color w:val="auto"/>
                <w:sz w:val="21"/>
                <w:lang w:val="en-US"/>
              </w:rPr>
              <w:t>1</w:t>
            </w:r>
            <w:r>
              <w:rPr>
                <w:rFonts w:hint="eastAsia" w:ascii="宋体" w:hAnsi="宋体"/>
                <w:color w:val="auto"/>
                <w:sz w:val="21"/>
                <w:lang w:val="zh-CN"/>
              </w:rPr>
              <w:t>个有出生缺陷。学习出生缺陷防治知识可以有效降低出生缺陷的发生概率。同时，学习科学育儿和儿童早期发展知识，有助于提高养育照护能力，充分开发儿童潜能，促进儿童体格、心理、认知、情感和社会适应能力的全面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53</w:t>
            </w:r>
          </w:p>
        </w:tc>
        <w:tc>
          <w:tcPr>
            <w:tcW w:w="8469" w:type="dxa"/>
            <w:gridSpan w:val="6"/>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b/>
                <w:color w:val="auto"/>
                <w:sz w:val="24"/>
                <w:lang w:val="zh-CN"/>
              </w:rPr>
              <w:t>主动接受婚前医学检查和孕前优生健康检查</w:t>
            </w:r>
          </w:p>
        </w:tc>
        <w:tc>
          <w:tcPr>
            <w:tcW w:w="105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倡导性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54</w:t>
            </w:r>
          </w:p>
        </w:tc>
        <w:tc>
          <w:tcPr>
            <w:tcW w:w="8469" w:type="dxa"/>
            <w:gridSpan w:val="6"/>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b/>
                <w:color w:val="auto"/>
                <w:sz w:val="24"/>
                <w:lang w:val="zh-CN"/>
              </w:rPr>
              <w:t>倡导</w:t>
            </w:r>
            <w:r>
              <w:rPr>
                <w:rFonts w:hint="default" w:ascii="Times New Roman" w:hAnsi="Times New Roman" w:eastAsia="Times New Roman"/>
                <w:b/>
                <w:color w:val="auto"/>
                <w:sz w:val="24"/>
                <w:lang w:val="en-US"/>
              </w:rPr>
              <w:t>0</w:t>
            </w:r>
            <w:r>
              <w:rPr>
                <w:rFonts w:hint="eastAsia" w:ascii="宋体" w:hAnsi="宋体"/>
                <w:b/>
                <w:color w:val="auto"/>
                <w:sz w:val="24"/>
                <w:lang w:val="zh-CN"/>
              </w:rPr>
              <w:t>～</w:t>
            </w:r>
            <w:r>
              <w:rPr>
                <w:rFonts w:hint="default" w:ascii="Times New Roman" w:hAnsi="Times New Roman" w:eastAsia="Times New Roman"/>
                <w:b/>
                <w:color w:val="auto"/>
                <w:sz w:val="24"/>
                <w:lang w:val="en-US"/>
              </w:rPr>
              <w:t>6</w:t>
            </w:r>
            <w:r>
              <w:rPr>
                <w:rFonts w:hint="eastAsia" w:ascii="宋体" w:hAnsi="宋体"/>
                <w:b/>
                <w:color w:val="auto"/>
                <w:sz w:val="24"/>
                <w:lang w:val="zh-CN"/>
              </w:rPr>
              <w:t>个月婴儿纯母乳喂养，为</w:t>
            </w:r>
            <w:r>
              <w:rPr>
                <w:rFonts w:hint="default" w:ascii="Times New Roman" w:hAnsi="Times New Roman" w:eastAsia="Times New Roman"/>
                <w:b/>
                <w:color w:val="auto"/>
                <w:sz w:val="24"/>
                <w:lang w:val="en-US"/>
              </w:rPr>
              <w:t>6</w:t>
            </w:r>
            <w:r>
              <w:rPr>
                <w:rFonts w:hint="eastAsia" w:ascii="宋体" w:hAnsi="宋体"/>
                <w:b/>
                <w:color w:val="auto"/>
                <w:sz w:val="24"/>
                <w:lang w:val="zh-CN"/>
              </w:rPr>
              <w:t>个月以上婴儿适时合理添加辅食</w:t>
            </w:r>
          </w:p>
        </w:tc>
        <w:tc>
          <w:tcPr>
            <w:tcW w:w="105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倡导性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3"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9519" w:type="dxa"/>
            <w:gridSpan w:val="7"/>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color w:val="auto"/>
                <w:sz w:val="21"/>
                <w:lang w:val="zh-CN"/>
              </w:rPr>
              <w:t>说明：世界卫生组织认为母乳喂养可以降低儿童的死亡率，对健康带来的益处可以延续到成人期，也有利于母亲防治相关疾病。母乳无法满足</w:t>
            </w:r>
            <w:r>
              <w:rPr>
                <w:rFonts w:hint="default" w:ascii="Times New Roman" w:hAnsi="Times New Roman" w:eastAsia="Times New Roman"/>
                <w:color w:val="auto"/>
                <w:sz w:val="21"/>
                <w:lang w:val="en-US"/>
              </w:rPr>
              <w:t>6</w:t>
            </w:r>
            <w:r>
              <w:rPr>
                <w:rFonts w:hint="eastAsia" w:ascii="宋体" w:hAnsi="宋体"/>
                <w:color w:val="auto"/>
                <w:sz w:val="21"/>
                <w:lang w:val="zh-CN"/>
              </w:rPr>
              <w:t>个月以上婴儿的营养需求，需要适时合理添加辅食，达到营养均衡搭配。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10212" w:type="dxa"/>
            <w:gridSpan w:val="8"/>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color w:val="auto"/>
                <w:sz w:val="24"/>
                <w:lang w:val="zh-CN"/>
              </w:rPr>
              <w:t>政府工作指标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55</w:t>
            </w:r>
          </w:p>
        </w:tc>
        <w:tc>
          <w:tcPr>
            <w:tcW w:w="3458"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b/>
                <w:color w:val="auto"/>
                <w:sz w:val="24"/>
                <w:lang w:val="zh-CN"/>
              </w:rPr>
              <w:t>产前筛查率（</w:t>
            </w:r>
            <w:r>
              <w:rPr>
                <w:rFonts w:hint="default" w:ascii="Times New Roman" w:hAnsi="Times New Roman" w:eastAsia="Times New Roman"/>
                <w:b/>
                <w:color w:val="auto"/>
                <w:sz w:val="24"/>
                <w:lang w:val="en-US"/>
              </w:rPr>
              <w:t>%</w:t>
            </w:r>
            <w:r>
              <w:rPr>
                <w:rFonts w:hint="eastAsia" w:ascii="宋体" w:hAnsi="宋体"/>
                <w:b/>
                <w:color w:val="auto"/>
                <w:sz w:val="24"/>
                <w:lang w:val="zh-CN"/>
              </w:rPr>
              <w:t>）</w:t>
            </w:r>
          </w:p>
        </w:tc>
        <w:tc>
          <w:tcPr>
            <w:tcW w:w="2262"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61.1</w:t>
            </w:r>
          </w:p>
        </w:tc>
        <w:tc>
          <w:tcPr>
            <w:tcW w:w="851"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w:t>
            </w:r>
            <w:r>
              <w:rPr>
                <w:rFonts w:hint="default" w:ascii="Times New Roman" w:hAnsi="Times New Roman" w:eastAsia="Times New Roman"/>
                <w:color w:val="auto"/>
                <w:sz w:val="24"/>
                <w:lang w:val="en-US"/>
              </w:rPr>
              <w:t>70</w:t>
            </w:r>
          </w:p>
        </w:tc>
        <w:tc>
          <w:tcPr>
            <w:tcW w:w="1898"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w:t>
            </w:r>
            <w:r>
              <w:rPr>
                <w:rFonts w:hint="default" w:ascii="Times New Roman" w:hAnsi="Times New Roman" w:eastAsia="Times New Roman"/>
                <w:color w:val="auto"/>
                <w:sz w:val="24"/>
                <w:lang w:val="en-US"/>
              </w:rPr>
              <w:t>80</w:t>
            </w:r>
          </w:p>
        </w:tc>
        <w:tc>
          <w:tcPr>
            <w:tcW w:w="105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56</w:t>
            </w:r>
          </w:p>
        </w:tc>
        <w:tc>
          <w:tcPr>
            <w:tcW w:w="3458"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b/>
                <w:color w:val="auto"/>
                <w:sz w:val="24"/>
                <w:lang w:val="zh-CN"/>
              </w:rPr>
              <w:t>新生儿遗传代谢性疾病筛查率（</w:t>
            </w:r>
            <w:r>
              <w:rPr>
                <w:rFonts w:hint="default" w:ascii="Times New Roman" w:hAnsi="Times New Roman" w:eastAsia="Times New Roman"/>
                <w:b/>
                <w:color w:val="auto"/>
                <w:sz w:val="24"/>
                <w:lang w:val="en-US"/>
              </w:rPr>
              <w:t>%</w:t>
            </w:r>
            <w:r>
              <w:rPr>
                <w:rFonts w:hint="eastAsia" w:ascii="宋体" w:hAnsi="宋体"/>
                <w:b/>
                <w:color w:val="auto"/>
                <w:sz w:val="24"/>
                <w:lang w:val="zh-CN"/>
              </w:rPr>
              <w:t>）</w:t>
            </w:r>
          </w:p>
        </w:tc>
        <w:tc>
          <w:tcPr>
            <w:tcW w:w="2262"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97.5</w:t>
            </w:r>
          </w:p>
        </w:tc>
        <w:tc>
          <w:tcPr>
            <w:tcW w:w="2749" w:type="dxa"/>
            <w:gridSpan w:val="3"/>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w:t>
            </w:r>
            <w:r>
              <w:rPr>
                <w:rFonts w:hint="default" w:ascii="Times New Roman" w:hAnsi="Times New Roman" w:eastAsia="Times New Roman"/>
                <w:color w:val="auto"/>
                <w:sz w:val="24"/>
                <w:lang w:val="en-US"/>
              </w:rPr>
              <w:t>98</w:t>
            </w:r>
          </w:p>
        </w:tc>
        <w:tc>
          <w:tcPr>
            <w:tcW w:w="105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57</w:t>
            </w:r>
          </w:p>
        </w:tc>
        <w:tc>
          <w:tcPr>
            <w:tcW w:w="3458"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b/>
                <w:color w:val="auto"/>
                <w:sz w:val="24"/>
                <w:lang w:val="zh-CN"/>
              </w:rPr>
              <w:t>新生儿听力筛查率（</w:t>
            </w:r>
            <w:r>
              <w:rPr>
                <w:rFonts w:hint="default" w:ascii="Times New Roman" w:hAnsi="Times New Roman" w:eastAsia="Times New Roman"/>
                <w:b/>
                <w:color w:val="auto"/>
                <w:sz w:val="24"/>
                <w:lang w:val="en-US"/>
              </w:rPr>
              <w:t>%</w:t>
            </w:r>
            <w:r>
              <w:rPr>
                <w:rFonts w:hint="eastAsia" w:ascii="宋体" w:hAnsi="宋体"/>
                <w:b/>
                <w:color w:val="auto"/>
                <w:sz w:val="24"/>
                <w:lang w:val="zh-CN"/>
              </w:rPr>
              <w:t>）</w:t>
            </w:r>
          </w:p>
        </w:tc>
        <w:tc>
          <w:tcPr>
            <w:tcW w:w="2262"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宋体" w:hAnsi="宋体"/>
                <w:color w:val="auto"/>
                <w:sz w:val="24"/>
                <w:lang w:val="zh-CN"/>
              </w:rPr>
              <w:t>—</w:t>
            </w:r>
          </w:p>
        </w:tc>
        <w:tc>
          <w:tcPr>
            <w:tcW w:w="2749" w:type="dxa"/>
            <w:gridSpan w:val="3"/>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w:t>
            </w:r>
            <w:r>
              <w:rPr>
                <w:rFonts w:hint="default" w:ascii="Times New Roman" w:hAnsi="Times New Roman" w:eastAsia="Times New Roman"/>
                <w:color w:val="auto"/>
                <w:sz w:val="24"/>
                <w:lang w:val="en-US"/>
              </w:rPr>
              <w:t>90</w:t>
            </w:r>
          </w:p>
        </w:tc>
        <w:tc>
          <w:tcPr>
            <w:tcW w:w="105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58</w:t>
            </w:r>
          </w:p>
        </w:tc>
        <w:tc>
          <w:tcPr>
            <w:tcW w:w="3458"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b/>
                <w:color w:val="auto"/>
                <w:spacing w:val="-6"/>
                <w:sz w:val="24"/>
                <w:lang w:val="zh-CN"/>
              </w:rPr>
              <w:t>农村适龄妇女宫颈癌和乳腺癌筛查覆盖率（</w:t>
            </w:r>
            <w:r>
              <w:rPr>
                <w:rFonts w:hint="default" w:ascii="Times New Roman" w:hAnsi="Times New Roman" w:eastAsia="Times New Roman"/>
                <w:b/>
                <w:color w:val="auto"/>
                <w:spacing w:val="-6"/>
                <w:sz w:val="24"/>
                <w:lang w:val="en-US"/>
              </w:rPr>
              <w:t>%</w:t>
            </w:r>
            <w:r>
              <w:rPr>
                <w:rFonts w:hint="eastAsia" w:ascii="宋体" w:hAnsi="宋体"/>
                <w:b/>
                <w:color w:val="auto"/>
                <w:spacing w:val="-6"/>
                <w:sz w:val="24"/>
                <w:lang w:val="zh-CN"/>
              </w:rPr>
              <w:t>）</w:t>
            </w:r>
          </w:p>
        </w:tc>
        <w:tc>
          <w:tcPr>
            <w:tcW w:w="2262"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52.6</w:t>
            </w:r>
          </w:p>
        </w:tc>
        <w:tc>
          <w:tcPr>
            <w:tcW w:w="851"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w:t>
            </w:r>
            <w:r>
              <w:rPr>
                <w:rFonts w:hint="default" w:ascii="Times New Roman" w:hAnsi="Times New Roman" w:eastAsia="Times New Roman"/>
                <w:color w:val="auto"/>
                <w:sz w:val="24"/>
                <w:lang w:val="en-US"/>
              </w:rPr>
              <w:t>80</w:t>
            </w:r>
          </w:p>
        </w:tc>
        <w:tc>
          <w:tcPr>
            <w:tcW w:w="1898"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w:t>
            </w:r>
            <w:r>
              <w:rPr>
                <w:rFonts w:hint="default" w:ascii="Times New Roman" w:hAnsi="Times New Roman" w:eastAsia="Times New Roman"/>
                <w:color w:val="auto"/>
                <w:sz w:val="24"/>
                <w:lang w:val="en-US"/>
              </w:rPr>
              <w:t>90</w:t>
            </w:r>
          </w:p>
        </w:tc>
        <w:tc>
          <w:tcPr>
            <w:tcW w:w="105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9519" w:type="dxa"/>
            <w:gridSpan w:val="7"/>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color w:val="auto"/>
                <w:sz w:val="21"/>
                <w:lang w:val="zh-CN"/>
              </w:rPr>
              <w:t>说明：覆盖率以县为单位统计。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8" w:hRule="atLeast"/>
          <w:jc w:val="center"/>
        </w:trPr>
        <w:tc>
          <w:tcPr>
            <w:tcW w:w="695"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default" w:ascii="Times New Roman" w:hAnsi="Times New Roman" w:eastAsia="Times New Roman"/>
                <w:color w:val="auto"/>
                <w:sz w:val="21"/>
                <w:lang w:val="en-US"/>
              </w:rPr>
            </w:pPr>
          </w:p>
          <w:p>
            <w:pPr>
              <w:spacing w:beforeLines="0" w:afterLines="0"/>
              <w:jc w:val="center"/>
              <w:rPr>
                <w:rFonts w:hint="default" w:ascii="Times New Roman" w:hAnsi="Times New Roman" w:eastAsia="Times New Roman"/>
                <w:color w:val="auto"/>
                <w:sz w:val="21"/>
                <w:lang w:val="en-US"/>
              </w:rPr>
            </w:pPr>
          </w:p>
          <w:p>
            <w:pPr>
              <w:spacing w:beforeLines="0" w:afterLines="0"/>
              <w:jc w:val="center"/>
              <w:rPr>
                <w:rFonts w:hint="default" w:ascii="Times New Roman" w:hAnsi="Times New Roman" w:eastAsia="Times New Roman"/>
                <w:color w:val="auto"/>
                <w:sz w:val="21"/>
                <w:lang w:val="en-US"/>
              </w:rPr>
            </w:pPr>
          </w:p>
          <w:p>
            <w:pPr>
              <w:spacing w:beforeLines="0" w:afterLines="0"/>
              <w:jc w:val="center"/>
              <w:rPr>
                <w:rFonts w:hint="default" w:ascii="Times New Roman" w:hAnsi="Times New Roman" w:eastAsia="Times New Roman"/>
                <w:color w:val="auto"/>
                <w:sz w:val="21"/>
                <w:lang w:val="en-US"/>
              </w:rPr>
            </w:pPr>
          </w:p>
          <w:p>
            <w:pPr>
              <w:spacing w:beforeLines="0" w:afterLines="0"/>
              <w:jc w:val="center"/>
              <w:rPr>
                <w:rFonts w:hint="default" w:ascii="Times New Roman" w:hAnsi="Times New Roman" w:eastAsia="Times New Roman"/>
                <w:color w:val="auto"/>
                <w:sz w:val="21"/>
                <w:lang w:val="en-US"/>
              </w:rPr>
            </w:pP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1"/>
                <w:lang w:val="zh-CN"/>
              </w:rPr>
              <w:t>（八）</w:t>
            </w:r>
            <w:r>
              <w:rPr>
                <w:rFonts w:hint="eastAsia" w:ascii="宋体" w:hAnsi="宋体"/>
                <w:color w:val="auto"/>
                <w:sz w:val="24"/>
                <w:lang w:val="zh-CN"/>
              </w:rPr>
              <w:t>中</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小</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学</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健</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康</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促</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进</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行</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动</w:t>
            </w:r>
          </w:p>
          <w:p>
            <w:pPr>
              <w:spacing w:beforeLines="0" w:afterLines="0"/>
              <w:jc w:val="center"/>
              <w:rPr>
                <w:rFonts w:hint="default" w:ascii="Times New Roman" w:hAnsi="Times New Roman" w:eastAsia="Times New Roman"/>
                <w:color w:val="auto"/>
                <w:sz w:val="21"/>
                <w:lang w:val="en-US"/>
              </w:rPr>
            </w:pPr>
          </w:p>
          <w:p>
            <w:pPr>
              <w:spacing w:beforeLines="0" w:afterLines="0"/>
              <w:jc w:val="center"/>
              <w:rPr>
                <w:rFonts w:hint="default" w:ascii="Times New Roman" w:hAnsi="Times New Roman" w:eastAsia="Times New Roman"/>
                <w:color w:val="auto"/>
                <w:sz w:val="32"/>
                <w:lang w:val="en-US"/>
              </w:rPr>
            </w:pPr>
          </w:p>
          <w:p>
            <w:pPr>
              <w:spacing w:beforeLines="0" w:afterLines="0"/>
              <w:jc w:val="center"/>
              <w:rPr>
                <w:rFonts w:hint="default" w:ascii="Times New Roman" w:hAnsi="Times New Roman" w:eastAsia="Times New Roman"/>
                <w:color w:val="auto"/>
                <w:sz w:val="32"/>
                <w:lang w:val="en-US"/>
              </w:rPr>
            </w:pPr>
          </w:p>
          <w:p>
            <w:pPr>
              <w:spacing w:beforeLines="0" w:afterLines="0"/>
              <w:jc w:val="center"/>
              <w:rPr>
                <w:rFonts w:hint="default" w:ascii="Times New Roman" w:hAnsi="Times New Roman" w:eastAsia="Times New Roman"/>
                <w:color w:val="auto"/>
                <w:sz w:val="32"/>
                <w:lang w:val="en-US"/>
              </w:rPr>
            </w:pPr>
          </w:p>
          <w:p>
            <w:pPr>
              <w:spacing w:beforeLines="0" w:afterLines="0"/>
              <w:jc w:val="center"/>
              <w:rPr>
                <w:rFonts w:hint="default" w:ascii="Times New Roman" w:hAnsi="Times New Roman" w:eastAsia="Times New Roman"/>
                <w:color w:val="auto"/>
                <w:sz w:val="32"/>
                <w:lang w:val="en-US"/>
              </w:rPr>
            </w:pPr>
          </w:p>
          <w:p>
            <w:pPr>
              <w:spacing w:beforeLines="0" w:afterLines="0"/>
              <w:jc w:val="center"/>
              <w:rPr>
                <w:rFonts w:hint="default" w:ascii="Times New Roman" w:hAnsi="Times New Roman" w:eastAsia="Times New Roman"/>
                <w:color w:val="auto"/>
                <w:sz w:val="32"/>
                <w:lang w:val="en-US"/>
              </w:rPr>
            </w:pPr>
          </w:p>
          <w:p>
            <w:pPr>
              <w:spacing w:beforeLines="0" w:afterLines="0"/>
              <w:jc w:val="center"/>
              <w:rPr>
                <w:rFonts w:hint="default" w:ascii="Times New Roman" w:hAnsi="Times New Roman" w:eastAsia="Times New Roman"/>
                <w:color w:val="auto"/>
                <w:sz w:val="32"/>
                <w:lang w:val="en-US"/>
              </w:rPr>
            </w:pP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1"/>
                <w:lang w:val="zh-CN"/>
              </w:rPr>
              <w:t>（八）</w:t>
            </w:r>
            <w:r>
              <w:rPr>
                <w:rFonts w:hint="eastAsia" w:ascii="宋体" w:hAnsi="宋体"/>
                <w:color w:val="auto"/>
                <w:sz w:val="24"/>
                <w:lang w:val="zh-CN"/>
              </w:rPr>
              <w:t>中</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小</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学</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健</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康</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促</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进</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行</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动</w:t>
            </w:r>
          </w:p>
          <w:p>
            <w:pPr>
              <w:spacing w:beforeLines="0" w:afterLines="0"/>
              <w:jc w:val="center"/>
              <w:rPr>
                <w:rFonts w:hint="eastAsia" w:ascii="宋体" w:hAnsi="宋体"/>
                <w:color w:val="auto"/>
                <w:sz w:val="22"/>
                <w:lang w:val="zh-CN"/>
              </w:rPr>
            </w:pPr>
          </w:p>
        </w:tc>
        <w:tc>
          <w:tcPr>
            <w:tcW w:w="10212" w:type="dxa"/>
            <w:gridSpan w:val="8"/>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color w:val="auto"/>
                <w:sz w:val="24"/>
                <w:lang w:val="zh-CN"/>
              </w:rPr>
              <w:t>结果性指标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1"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59</w:t>
            </w:r>
          </w:p>
        </w:tc>
        <w:tc>
          <w:tcPr>
            <w:tcW w:w="3458"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b/>
                <w:color w:val="auto"/>
                <w:sz w:val="24"/>
                <w:lang w:val="zh-CN"/>
              </w:rPr>
              <w:t>国家学生体质健康标准达标优良率（</w:t>
            </w:r>
            <w:r>
              <w:rPr>
                <w:rFonts w:hint="default" w:ascii="Times New Roman" w:hAnsi="Times New Roman" w:eastAsia="Times New Roman"/>
                <w:b/>
                <w:color w:val="auto"/>
                <w:sz w:val="24"/>
                <w:lang w:val="en-US"/>
              </w:rPr>
              <w:t>%</w:t>
            </w:r>
            <w:r>
              <w:rPr>
                <w:rFonts w:hint="eastAsia" w:ascii="宋体" w:hAnsi="宋体"/>
                <w:b/>
                <w:color w:val="auto"/>
                <w:sz w:val="24"/>
                <w:lang w:val="zh-CN"/>
              </w:rPr>
              <w:t>）</w:t>
            </w:r>
          </w:p>
        </w:tc>
        <w:tc>
          <w:tcPr>
            <w:tcW w:w="2262"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31.8</w:t>
            </w:r>
          </w:p>
        </w:tc>
        <w:tc>
          <w:tcPr>
            <w:tcW w:w="851"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w:t>
            </w:r>
            <w:r>
              <w:rPr>
                <w:rFonts w:hint="default" w:ascii="Times New Roman" w:hAnsi="Times New Roman" w:eastAsia="Times New Roman"/>
                <w:color w:val="auto"/>
                <w:sz w:val="24"/>
                <w:lang w:val="en-US"/>
              </w:rPr>
              <w:t>50</w:t>
            </w:r>
          </w:p>
        </w:tc>
        <w:tc>
          <w:tcPr>
            <w:tcW w:w="1898"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w:t>
            </w:r>
            <w:r>
              <w:rPr>
                <w:rFonts w:hint="default" w:ascii="Times New Roman" w:hAnsi="Times New Roman" w:eastAsia="Times New Roman"/>
                <w:color w:val="auto"/>
                <w:sz w:val="24"/>
                <w:lang w:val="en-US"/>
              </w:rPr>
              <w:t>60</w:t>
            </w:r>
          </w:p>
        </w:tc>
        <w:tc>
          <w:tcPr>
            <w:tcW w:w="105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60"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9519" w:type="dxa"/>
            <w:gridSpan w:val="7"/>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default" w:ascii="Times New Roman" w:hAnsi="Times New Roman" w:eastAsia="Times New Roman"/>
                <w:color w:val="auto"/>
                <w:sz w:val="21"/>
                <w:lang w:val="en-US"/>
              </w:rPr>
            </w:pPr>
            <w:r>
              <w:rPr>
                <w:rFonts w:hint="eastAsia" w:ascii="宋体" w:hAnsi="宋体"/>
                <w:color w:val="auto"/>
                <w:sz w:val="21"/>
                <w:lang w:val="zh-CN"/>
              </w:rPr>
              <w:t>说明：《国家学生体质健康标准》是测量学生体质健康状况和锻炼效果的评价标准，实施这一评价标准有利于促进学生积极参加体育锻炼，养成良好的锻炼习惯，提高体质健康水平。</w:t>
            </w:r>
          </w:p>
          <w:p>
            <w:pPr>
              <w:spacing w:beforeLines="0" w:afterLines="0"/>
              <w:rPr>
                <w:rFonts w:hint="eastAsia" w:ascii="宋体" w:hAnsi="宋体"/>
                <w:color w:val="auto"/>
                <w:sz w:val="22"/>
                <w:lang w:val="zh-CN"/>
              </w:rPr>
            </w:pPr>
            <w:r>
              <w:rPr>
                <w:rFonts w:hint="eastAsia" w:ascii="宋体" w:hAnsi="宋体"/>
                <w:color w:val="auto"/>
                <w:sz w:val="21"/>
                <w:lang w:val="zh-CN"/>
              </w:rPr>
              <w:t>计算方法：学年体质综合评定总分</w:t>
            </w:r>
            <w:r>
              <w:rPr>
                <w:rFonts w:hint="default" w:ascii="Times New Roman" w:hAnsi="Times New Roman" w:eastAsia="Times New Roman"/>
                <w:color w:val="auto"/>
                <w:sz w:val="21"/>
                <w:lang w:val="en-US"/>
              </w:rPr>
              <w:t>80</w:t>
            </w:r>
            <w:r>
              <w:rPr>
                <w:rFonts w:hint="eastAsia" w:ascii="宋体" w:hAnsi="宋体"/>
                <w:color w:val="auto"/>
                <w:sz w:val="21"/>
                <w:lang w:val="zh-CN"/>
              </w:rPr>
              <w:t>分及以上学生数</w:t>
            </w:r>
            <w:r>
              <w:rPr>
                <w:rFonts w:hint="default" w:ascii="Times New Roman" w:hAnsi="Times New Roman" w:eastAsia="Times New Roman"/>
                <w:color w:val="auto"/>
                <w:sz w:val="21"/>
                <w:lang w:val="en-US"/>
              </w:rPr>
              <w:t>/</w:t>
            </w:r>
            <w:r>
              <w:rPr>
                <w:rFonts w:hint="eastAsia" w:ascii="宋体" w:hAnsi="宋体"/>
                <w:color w:val="auto"/>
                <w:sz w:val="21"/>
                <w:lang w:val="zh-CN"/>
              </w:rPr>
              <w:t>参加评定学生总人数×</w:t>
            </w:r>
            <w:r>
              <w:rPr>
                <w:rFonts w:hint="default" w:ascii="Times New Roman" w:hAnsi="Times New Roman" w:eastAsia="Times New Roman"/>
                <w:color w:val="auto"/>
                <w:sz w:val="21"/>
                <w:lang w:val="en-US"/>
              </w:rPr>
              <w:t>100%</w:t>
            </w:r>
            <w:r>
              <w:rPr>
                <w:rFonts w:hint="eastAsia" w:ascii="宋体" w:hAnsi="宋体"/>
                <w:color w:val="auto"/>
                <w:sz w:val="21"/>
                <w:lang w:val="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60</w:t>
            </w:r>
          </w:p>
        </w:tc>
        <w:tc>
          <w:tcPr>
            <w:tcW w:w="3458"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b/>
                <w:color w:val="auto"/>
                <w:sz w:val="24"/>
                <w:lang w:val="zh-CN"/>
              </w:rPr>
              <w:t>全国儿童青少年总体近视率（</w:t>
            </w:r>
            <w:r>
              <w:rPr>
                <w:rFonts w:hint="default" w:ascii="Times New Roman" w:hAnsi="Times New Roman" w:eastAsia="Times New Roman"/>
                <w:b/>
                <w:color w:val="auto"/>
                <w:sz w:val="24"/>
                <w:lang w:val="en-US"/>
              </w:rPr>
              <w:t>%</w:t>
            </w:r>
            <w:r>
              <w:rPr>
                <w:rFonts w:hint="eastAsia" w:ascii="宋体" w:hAnsi="宋体"/>
                <w:b/>
                <w:color w:val="auto"/>
                <w:sz w:val="24"/>
                <w:lang w:val="zh-CN"/>
              </w:rPr>
              <w:t>）</w:t>
            </w:r>
          </w:p>
        </w:tc>
        <w:tc>
          <w:tcPr>
            <w:tcW w:w="2262"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宋体" w:hAnsi="宋体"/>
                <w:color w:val="auto"/>
                <w:sz w:val="24"/>
                <w:lang w:val="zh-CN"/>
              </w:rPr>
              <w:t>—</w:t>
            </w:r>
          </w:p>
        </w:tc>
        <w:tc>
          <w:tcPr>
            <w:tcW w:w="851"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260" w:lineRule="atLeast"/>
              <w:jc w:val="center"/>
              <w:rPr>
                <w:rFonts w:hint="eastAsia" w:ascii="宋体" w:hAnsi="宋体"/>
                <w:color w:val="auto"/>
                <w:sz w:val="22"/>
                <w:lang w:val="zh-CN"/>
              </w:rPr>
            </w:pPr>
            <w:r>
              <w:rPr>
                <w:rFonts w:hint="eastAsia" w:ascii="宋体" w:hAnsi="宋体"/>
                <w:color w:val="auto"/>
                <w:spacing w:val="-10"/>
                <w:sz w:val="24"/>
                <w:lang w:val="zh-CN"/>
              </w:rPr>
              <w:t>力争每年降低</w:t>
            </w:r>
            <w:r>
              <w:rPr>
                <w:rFonts w:hint="default" w:ascii="Times New Roman" w:hAnsi="Times New Roman" w:eastAsia="Times New Roman"/>
                <w:color w:val="auto"/>
                <w:spacing w:val="-10"/>
                <w:sz w:val="24"/>
                <w:lang w:val="en-US"/>
              </w:rPr>
              <w:t>0.5</w:t>
            </w:r>
            <w:r>
              <w:rPr>
                <w:rFonts w:hint="eastAsia" w:ascii="宋体" w:hAnsi="宋体"/>
                <w:color w:val="auto"/>
                <w:spacing w:val="-10"/>
                <w:sz w:val="24"/>
                <w:lang w:val="zh-CN"/>
              </w:rPr>
              <w:t>个百分点以上</w:t>
            </w:r>
          </w:p>
        </w:tc>
        <w:tc>
          <w:tcPr>
            <w:tcW w:w="1898"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pacing w:val="-10"/>
                <w:sz w:val="24"/>
                <w:lang w:val="zh-CN"/>
              </w:rPr>
              <w:t>新发近视率明显下降</w:t>
            </w:r>
          </w:p>
        </w:tc>
        <w:tc>
          <w:tcPr>
            <w:tcW w:w="105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10212" w:type="dxa"/>
            <w:gridSpan w:val="8"/>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color w:val="auto"/>
                <w:sz w:val="24"/>
                <w:lang w:val="zh-CN"/>
              </w:rPr>
              <w:t>个人和社会倡导性指标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280" w:lineRule="atLeast"/>
              <w:jc w:val="center"/>
              <w:rPr>
                <w:rFonts w:hint="eastAsia" w:ascii="宋体" w:hAnsi="宋体"/>
                <w:color w:val="auto"/>
                <w:sz w:val="22"/>
                <w:lang w:val="zh-CN"/>
              </w:rPr>
            </w:pPr>
            <w:r>
              <w:rPr>
                <w:rFonts w:hint="default" w:ascii="Times New Roman" w:hAnsi="Times New Roman" w:eastAsia="Times New Roman"/>
                <w:color w:val="auto"/>
                <w:sz w:val="24"/>
                <w:lang w:val="en-US"/>
              </w:rPr>
              <w:t>61</w:t>
            </w:r>
          </w:p>
        </w:tc>
        <w:tc>
          <w:tcPr>
            <w:tcW w:w="8469" w:type="dxa"/>
            <w:gridSpan w:val="6"/>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280" w:lineRule="atLeast"/>
              <w:rPr>
                <w:rFonts w:hint="eastAsia" w:ascii="宋体" w:hAnsi="宋体"/>
                <w:color w:val="auto"/>
                <w:sz w:val="22"/>
                <w:lang w:val="zh-CN"/>
              </w:rPr>
            </w:pPr>
            <w:r>
              <w:rPr>
                <w:rFonts w:hint="eastAsia" w:ascii="宋体" w:hAnsi="宋体"/>
                <w:b/>
                <w:color w:val="auto"/>
                <w:sz w:val="24"/>
                <w:lang w:val="zh-CN"/>
              </w:rPr>
              <w:t>中小学生每天在校外接触自然光时间</w:t>
            </w:r>
            <w:r>
              <w:rPr>
                <w:rFonts w:hint="default" w:ascii="Times New Roman" w:hAnsi="Times New Roman" w:eastAsia="Times New Roman"/>
                <w:b/>
                <w:color w:val="auto"/>
                <w:sz w:val="24"/>
                <w:lang w:val="en-US"/>
              </w:rPr>
              <w:t>1</w:t>
            </w:r>
            <w:r>
              <w:rPr>
                <w:rFonts w:hint="eastAsia" w:ascii="宋体" w:hAnsi="宋体"/>
                <w:b/>
                <w:color w:val="auto"/>
                <w:sz w:val="24"/>
                <w:lang w:val="zh-CN"/>
              </w:rPr>
              <w:t>小时以上</w:t>
            </w:r>
          </w:p>
        </w:tc>
        <w:tc>
          <w:tcPr>
            <w:tcW w:w="105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280" w:lineRule="atLeast"/>
              <w:jc w:val="center"/>
              <w:rPr>
                <w:rFonts w:hint="eastAsia" w:ascii="宋体" w:hAnsi="宋体"/>
                <w:color w:val="auto"/>
                <w:sz w:val="22"/>
                <w:lang w:val="zh-CN"/>
              </w:rPr>
            </w:pPr>
            <w:r>
              <w:rPr>
                <w:rFonts w:hint="eastAsia" w:ascii="宋体" w:hAnsi="宋体"/>
                <w:color w:val="auto"/>
                <w:sz w:val="24"/>
                <w:lang w:val="zh-CN"/>
              </w:rPr>
              <w:t>倡导性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280" w:lineRule="atLeast"/>
              <w:jc w:val="center"/>
              <w:rPr>
                <w:rFonts w:hint="eastAsia" w:ascii="宋体" w:hAnsi="宋体"/>
                <w:color w:val="auto"/>
                <w:sz w:val="22"/>
                <w:lang w:val="zh-CN"/>
              </w:rPr>
            </w:pPr>
            <w:r>
              <w:rPr>
                <w:rFonts w:hint="default" w:ascii="Times New Roman" w:hAnsi="Times New Roman" w:eastAsia="Times New Roman"/>
                <w:color w:val="auto"/>
                <w:sz w:val="24"/>
                <w:lang w:val="en-US"/>
              </w:rPr>
              <w:t>62</w:t>
            </w:r>
          </w:p>
        </w:tc>
        <w:tc>
          <w:tcPr>
            <w:tcW w:w="8469" w:type="dxa"/>
            <w:gridSpan w:val="6"/>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280" w:lineRule="atLeast"/>
              <w:rPr>
                <w:rFonts w:hint="eastAsia" w:ascii="宋体" w:hAnsi="宋体"/>
                <w:color w:val="auto"/>
                <w:sz w:val="22"/>
                <w:lang w:val="zh-CN"/>
              </w:rPr>
            </w:pPr>
            <w:r>
              <w:rPr>
                <w:rFonts w:hint="eastAsia" w:ascii="宋体" w:hAnsi="宋体"/>
                <w:b/>
                <w:color w:val="auto"/>
                <w:sz w:val="24"/>
                <w:lang w:val="zh-CN"/>
              </w:rPr>
              <w:t>小学生、初中生、高中生每天睡眠时间分别不少于</w:t>
            </w:r>
            <w:r>
              <w:rPr>
                <w:rFonts w:hint="default" w:ascii="Times New Roman" w:hAnsi="Times New Roman" w:eastAsia="Times New Roman"/>
                <w:b/>
                <w:color w:val="auto"/>
                <w:sz w:val="24"/>
                <w:lang w:val="en-US"/>
              </w:rPr>
              <w:t>10</w:t>
            </w:r>
            <w:r>
              <w:rPr>
                <w:rFonts w:hint="eastAsia" w:ascii="宋体" w:hAnsi="宋体"/>
                <w:b/>
                <w:color w:val="auto"/>
                <w:sz w:val="24"/>
                <w:lang w:val="zh-CN"/>
              </w:rPr>
              <w:t>、</w:t>
            </w:r>
            <w:r>
              <w:rPr>
                <w:rFonts w:hint="default" w:ascii="Times New Roman" w:hAnsi="Times New Roman" w:eastAsia="Times New Roman"/>
                <w:b/>
                <w:color w:val="auto"/>
                <w:sz w:val="24"/>
                <w:lang w:val="en-US"/>
              </w:rPr>
              <w:t>9</w:t>
            </w:r>
            <w:r>
              <w:rPr>
                <w:rFonts w:hint="eastAsia" w:ascii="宋体" w:hAnsi="宋体"/>
                <w:b/>
                <w:color w:val="auto"/>
                <w:sz w:val="24"/>
                <w:lang w:val="zh-CN"/>
              </w:rPr>
              <w:t>、</w:t>
            </w:r>
            <w:r>
              <w:rPr>
                <w:rFonts w:hint="default" w:ascii="Times New Roman" w:hAnsi="Times New Roman" w:eastAsia="Times New Roman"/>
                <w:b/>
                <w:color w:val="auto"/>
                <w:sz w:val="24"/>
                <w:lang w:val="en-US"/>
              </w:rPr>
              <w:t>8</w:t>
            </w:r>
            <w:r>
              <w:rPr>
                <w:rFonts w:hint="eastAsia" w:ascii="宋体" w:hAnsi="宋体"/>
                <w:b/>
                <w:color w:val="auto"/>
                <w:sz w:val="24"/>
                <w:lang w:val="zh-CN"/>
              </w:rPr>
              <w:t>个小时</w:t>
            </w:r>
          </w:p>
        </w:tc>
        <w:tc>
          <w:tcPr>
            <w:tcW w:w="105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280" w:lineRule="atLeast"/>
              <w:jc w:val="center"/>
              <w:rPr>
                <w:rFonts w:hint="eastAsia" w:ascii="宋体" w:hAnsi="宋体"/>
                <w:color w:val="auto"/>
                <w:sz w:val="22"/>
                <w:lang w:val="zh-CN"/>
              </w:rPr>
            </w:pPr>
            <w:r>
              <w:rPr>
                <w:rFonts w:hint="eastAsia" w:ascii="宋体" w:hAnsi="宋体"/>
                <w:color w:val="auto"/>
                <w:sz w:val="24"/>
                <w:lang w:val="zh-CN"/>
              </w:rPr>
              <w:t>倡导性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280" w:lineRule="atLeast"/>
              <w:jc w:val="center"/>
              <w:rPr>
                <w:rFonts w:hint="eastAsia" w:ascii="宋体" w:hAnsi="宋体"/>
                <w:color w:val="auto"/>
                <w:sz w:val="22"/>
                <w:lang w:val="zh-CN"/>
              </w:rPr>
            </w:pPr>
            <w:r>
              <w:rPr>
                <w:rFonts w:hint="default" w:ascii="Times New Roman" w:hAnsi="Times New Roman" w:eastAsia="Times New Roman"/>
                <w:color w:val="auto"/>
                <w:sz w:val="24"/>
                <w:lang w:val="en-US"/>
              </w:rPr>
              <w:t>63</w:t>
            </w:r>
          </w:p>
        </w:tc>
        <w:tc>
          <w:tcPr>
            <w:tcW w:w="8469" w:type="dxa"/>
            <w:gridSpan w:val="6"/>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280" w:lineRule="atLeast"/>
              <w:rPr>
                <w:rFonts w:hint="eastAsia" w:ascii="宋体" w:hAnsi="宋体"/>
                <w:color w:val="auto"/>
                <w:sz w:val="22"/>
                <w:lang w:val="zh-CN"/>
              </w:rPr>
            </w:pPr>
            <w:r>
              <w:rPr>
                <w:rFonts w:hint="eastAsia" w:ascii="宋体" w:hAnsi="宋体"/>
                <w:b/>
                <w:color w:val="auto"/>
                <w:sz w:val="24"/>
                <w:lang w:val="zh-CN"/>
              </w:rPr>
              <w:t>中小学生非学习目的使用电子屏幕产品单次不宜超过</w:t>
            </w:r>
            <w:r>
              <w:rPr>
                <w:rFonts w:hint="default" w:ascii="Times New Roman" w:hAnsi="Times New Roman" w:eastAsia="Times New Roman"/>
                <w:b/>
                <w:color w:val="auto"/>
                <w:sz w:val="24"/>
                <w:lang w:val="en-US"/>
              </w:rPr>
              <w:t>15</w:t>
            </w:r>
            <w:r>
              <w:rPr>
                <w:rFonts w:hint="eastAsia" w:ascii="宋体" w:hAnsi="宋体"/>
                <w:b/>
                <w:color w:val="auto"/>
                <w:sz w:val="24"/>
                <w:lang w:val="zh-CN"/>
              </w:rPr>
              <w:t>分钟，每天累计不宜超过</w:t>
            </w:r>
            <w:r>
              <w:rPr>
                <w:rFonts w:hint="default" w:ascii="Times New Roman" w:hAnsi="Times New Roman" w:eastAsia="Times New Roman"/>
                <w:b/>
                <w:color w:val="auto"/>
                <w:sz w:val="24"/>
                <w:lang w:val="en-US"/>
              </w:rPr>
              <w:t>1</w:t>
            </w:r>
            <w:r>
              <w:rPr>
                <w:rFonts w:hint="eastAsia" w:ascii="宋体" w:hAnsi="宋体"/>
                <w:b/>
                <w:color w:val="auto"/>
                <w:sz w:val="24"/>
                <w:lang w:val="zh-CN"/>
              </w:rPr>
              <w:t>小时</w:t>
            </w:r>
          </w:p>
        </w:tc>
        <w:tc>
          <w:tcPr>
            <w:tcW w:w="105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280" w:lineRule="atLeast"/>
              <w:jc w:val="center"/>
              <w:rPr>
                <w:rFonts w:hint="eastAsia" w:ascii="宋体" w:hAnsi="宋体"/>
                <w:color w:val="auto"/>
                <w:sz w:val="22"/>
                <w:lang w:val="zh-CN"/>
              </w:rPr>
            </w:pPr>
            <w:r>
              <w:rPr>
                <w:rFonts w:hint="eastAsia" w:ascii="宋体" w:hAnsi="宋体"/>
                <w:color w:val="auto"/>
                <w:sz w:val="24"/>
                <w:lang w:val="zh-CN"/>
              </w:rPr>
              <w:t>倡导性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280" w:lineRule="atLeast"/>
              <w:jc w:val="center"/>
              <w:rPr>
                <w:rFonts w:hint="eastAsia" w:ascii="宋体" w:hAnsi="宋体"/>
                <w:color w:val="auto"/>
                <w:sz w:val="22"/>
                <w:lang w:val="zh-CN"/>
              </w:rPr>
            </w:pPr>
            <w:r>
              <w:rPr>
                <w:rFonts w:hint="default" w:ascii="Times New Roman" w:hAnsi="Times New Roman" w:eastAsia="Times New Roman"/>
                <w:color w:val="auto"/>
                <w:sz w:val="24"/>
                <w:lang w:val="en-US"/>
              </w:rPr>
              <w:t>64</w:t>
            </w:r>
          </w:p>
        </w:tc>
        <w:tc>
          <w:tcPr>
            <w:tcW w:w="8469" w:type="dxa"/>
            <w:gridSpan w:val="6"/>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280" w:lineRule="atLeast"/>
              <w:rPr>
                <w:rFonts w:hint="eastAsia" w:ascii="宋体" w:hAnsi="宋体"/>
                <w:color w:val="auto"/>
                <w:sz w:val="22"/>
                <w:lang w:val="zh-CN"/>
              </w:rPr>
            </w:pPr>
            <w:r>
              <w:rPr>
                <w:rFonts w:hint="eastAsia" w:ascii="宋体" w:hAnsi="宋体"/>
                <w:b/>
                <w:color w:val="auto"/>
                <w:sz w:val="24"/>
                <w:lang w:val="zh-CN"/>
              </w:rPr>
              <w:t>学校鼓励引导学生达到《国家学生体质健康标准》良好及以上水平</w:t>
            </w:r>
          </w:p>
        </w:tc>
        <w:tc>
          <w:tcPr>
            <w:tcW w:w="105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280" w:lineRule="atLeast"/>
              <w:jc w:val="center"/>
              <w:rPr>
                <w:rFonts w:hint="eastAsia" w:ascii="宋体" w:hAnsi="宋体"/>
                <w:color w:val="auto"/>
                <w:sz w:val="22"/>
                <w:lang w:val="zh-CN"/>
              </w:rPr>
            </w:pPr>
            <w:r>
              <w:rPr>
                <w:rFonts w:hint="eastAsia" w:ascii="宋体" w:hAnsi="宋体"/>
                <w:color w:val="auto"/>
                <w:sz w:val="24"/>
                <w:lang w:val="zh-CN"/>
              </w:rPr>
              <w:t>倡导性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10212" w:type="dxa"/>
            <w:gridSpan w:val="8"/>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280" w:lineRule="atLeast"/>
              <w:rPr>
                <w:rFonts w:hint="eastAsia" w:ascii="宋体" w:hAnsi="宋体"/>
                <w:color w:val="auto"/>
                <w:sz w:val="22"/>
                <w:lang w:val="zh-CN"/>
              </w:rPr>
            </w:pPr>
            <w:r>
              <w:rPr>
                <w:rFonts w:hint="eastAsia" w:ascii="宋体" w:hAnsi="宋体"/>
                <w:color w:val="auto"/>
                <w:sz w:val="24"/>
                <w:lang w:val="zh-CN"/>
              </w:rPr>
              <w:t>政府工作指标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280" w:lineRule="atLeast"/>
              <w:jc w:val="center"/>
              <w:rPr>
                <w:rFonts w:hint="eastAsia" w:ascii="宋体" w:hAnsi="宋体"/>
                <w:color w:val="auto"/>
                <w:sz w:val="22"/>
                <w:lang w:val="zh-CN"/>
              </w:rPr>
            </w:pPr>
            <w:r>
              <w:rPr>
                <w:rFonts w:hint="default" w:ascii="Times New Roman" w:hAnsi="Times New Roman" w:eastAsia="Times New Roman"/>
                <w:color w:val="auto"/>
                <w:sz w:val="24"/>
                <w:lang w:val="en-US"/>
              </w:rPr>
              <w:t>65</w:t>
            </w:r>
          </w:p>
        </w:tc>
        <w:tc>
          <w:tcPr>
            <w:tcW w:w="3458"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280" w:lineRule="atLeast"/>
              <w:rPr>
                <w:rFonts w:hint="eastAsia" w:ascii="宋体" w:hAnsi="宋体"/>
                <w:color w:val="auto"/>
                <w:sz w:val="22"/>
                <w:lang w:val="zh-CN"/>
              </w:rPr>
            </w:pPr>
            <w:r>
              <w:rPr>
                <w:rFonts w:hint="eastAsia" w:ascii="宋体" w:hAnsi="宋体"/>
                <w:b/>
                <w:color w:val="auto"/>
                <w:sz w:val="24"/>
                <w:lang w:val="zh-CN"/>
              </w:rPr>
              <w:t>符合要求的中小学体育与健康课程开课率（</w:t>
            </w:r>
            <w:r>
              <w:rPr>
                <w:rFonts w:hint="default" w:ascii="Times New Roman" w:hAnsi="Times New Roman" w:eastAsia="Times New Roman"/>
                <w:b/>
                <w:color w:val="auto"/>
                <w:sz w:val="24"/>
                <w:lang w:val="en-US"/>
              </w:rPr>
              <w:t>%</w:t>
            </w:r>
            <w:r>
              <w:rPr>
                <w:rFonts w:hint="eastAsia" w:ascii="宋体" w:hAnsi="宋体"/>
                <w:b/>
                <w:color w:val="auto"/>
                <w:sz w:val="24"/>
                <w:lang w:val="zh-CN"/>
              </w:rPr>
              <w:t>）</w:t>
            </w:r>
          </w:p>
        </w:tc>
        <w:tc>
          <w:tcPr>
            <w:tcW w:w="2262"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280" w:lineRule="atLeast"/>
              <w:jc w:val="center"/>
              <w:rPr>
                <w:rFonts w:hint="eastAsia" w:ascii="宋体" w:hAnsi="宋体"/>
                <w:color w:val="auto"/>
                <w:sz w:val="22"/>
                <w:lang w:val="zh-CN"/>
              </w:rPr>
            </w:pPr>
            <w:r>
              <w:rPr>
                <w:rFonts w:hint="default" w:ascii="宋体" w:hAnsi="宋体"/>
                <w:color w:val="auto"/>
                <w:sz w:val="24"/>
                <w:lang w:val="zh-CN"/>
              </w:rPr>
              <w:t>—</w:t>
            </w:r>
          </w:p>
        </w:tc>
        <w:tc>
          <w:tcPr>
            <w:tcW w:w="2749" w:type="dxa"/>
            <w:gridSpan w:val="3"/>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280" w:lineRule="atLeast"/>
              <w:jc w:val="center"/>
              <w:rPr>
                <w:rFonts w:hint="eastAsia" w:ascii="宋体" w:hAnsi="宋体"/>
                <w:color w:val="auto"/>
                <w:sz w:val="22"/>
                <w:lang w:val="zh-CN"/>
              </w:rPr>
            </w:pPr>
            <w:r>
              <w:rPr>
                <w:rFonts w:hint="default" w:ascii="Times New Roman" w:hAnsi="Times New Roman" w:eastAsia="Times New Roman"/>
                <w:color w:val="auto"/>
                <w:sz w:val="24"/>
                <w:lang w:val="en-US"/>
              </w:rPr>
              <w:t>100</w:t>
            </w:r>
          </w:p>
        </w:tc>
        <w:tc>
          <w:tcPr>
            <w:tcW w:w="105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280" w:lineRule="atLeast"/>
              <w:jc w:val="center"/>
              <w:rPr>
                <w:rFonts w:hint="eastAsia" w:ascii="宋体" w:hAnsi="宋体"/>
                <w:color w:val="auto"/>
                <w:sz w:val="22"/>
                <w:lang w:val="zh-CN"/>
              </w:rPr>
            </w:pPr>
            <w:r>
              <w:rPr>
                <w:rFonts w:hint="eastAsia" w:ascii="宋体" w:hAnsi="宋体"/>
                <w:color w:val="auto"/>
                <w:sz w:val="24"/>
                <w:lang w:val="zh-CN"/>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280" w:lineRule="atLeast"/>
              <w:jc w:val="center"/>
              <w:rPr>
                <w:rFonts w:hint="eastAsia" w:ascii="宋体" w:hAnsi="宋体"/>
                <w:color w:val="auto"/>
                <w:sz w:val="22"/>
                <w:lang w:val="zh-CN"/>
              </w:rPr>
            </w:pPr>
            <w:r>
              <w:rPr>
                <w:rFonts w:hint="default" w:ascii="Times New Roman" w:hAnsi="Times New Roman" w:eastAsia="Times New Roman"/>
                <w:color w:val="auto"/>
                <w:sz w:val="24"/>
                <w:lang w:val="en-US"/>
              </w:rPr>
              <w:t>66</w:t>
            </w:r>
          </w:p>
        </w:tc>
        <w:tc>
          <w:tcPr>
            <w:tcW w:w="3458"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280" w:lineRule="atLeast"/>
              <w:rPr>
                <w:rFonts w:hint="eastAsia" w:ascii="宋体" w:hAnsi="宋体"/>
                <w:color w:val="auto"/>
                <w:sz w:val="22"/>
                <w:lang w:val="zh-CN"/>
              </w:rPr>
            </w:pPr>
            <w:r>
              <w:rPr>
                <w:rFonts w:hint="eastAsia" w:ascii="宋体" w:hAnsi="宋体"/>
                <w:b/>
                <w:color w:val="auto"/>
                <w:sz w:val="24"/>
                <w:lang w:val="zh-CN"/>
              </w:rPr>
              <w:t>中小学生每天校内体育活动时间（小时）</w:t>
            </w:r>
          </w:p>
        </w:tc>
        <w:tc>
          <w:tcPr>
            <w:tcW w:w="2262"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280" w:lineRule="atLeast"/>
              <w:jc w:val="center"/>
              <w:rPr>
                <w:rFonts w:hint="eastAsia" w:ascii="宋体" w:hAnsi="宋体"/>
                <w:color w:val="auto"/>
                <w:sz w:val="22"/>
                <w:lang w:val="zh-CN"/>
              </w:rPr>
            </w:pPr>
            <w:r>
              <w:rPr>
                <w:rFonts w:hint="default" w:ascii="宋体" w:hAnsi="宋体"/>
                <w:color w:val="auto"/>
                <w:sz w:val="24"/>
                <w:lang w:val="zh-CN"/>
              </w:rPr>
              <w:t>—</w:t>
            </w:r>
          </w:p>
        </w:tc>
        <w:tc>
          <w:tcPr>
            <w:tcW w:w="2749" w:type="dxa"/>
            <w:gridSpan w:val="3"/>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280" w:lineRule="atLeast"/>
              <w:jc w:val="center"/>
              <w:rPr>
                <w:rFonts w:hint="eastAsia" w:ascii="宋体" w:hAnsi="宋体"/>
                <w:color w:val="auto"/>
                <w:sz w:val="22"/>
                <w:lang w:val="zh-CN"/>
              </w:rPr>
            </w:pPr>
            <w:r>
              <w:rPr>
                <w:rFonts w:hint="eastAsia" w:ascii="宋体" w:hAnsi="宋体"/>
                <w:color w:val="auto"/>
                <w:sz w:val="24"/>
                <w:lang w:val="zh-CN"/>
              </w:rPr>
              <w:t>≥</w:t>
            </w:r>
            <w:r>
              <w:rPr>
                <w:rFonts w:hint="default" w:ascii="Times New Roman" w:hAnsi="Times New Roman" w:eastAsia="Times New Roman"/>
                <w:color w:val="auto"/>
                <w:sz w:val="24"/>
                <w:lang w:val="en-US"/>
              </w:rPr>
              <w:t>1</w:t>
            </w:r>
          </w:p>
        </w:tc>
        <w:tc>
          <w:tcPr>
            <w:tcW w:w="105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280" w:lineRule="atLeast"/>
              <w:jc w:val="center"/>
              <w:rPr>
                <w:rFonts w:hint="eastAsia" w:ascii="宋体" w:hAnsi="宋体"/>
                <w:color w:val="auto"/>
                <w:sz w:val="22"/>
                <w:lang w:val="zh-CN"/>
              </w:rPr>
            </w:pPr>
            <w:r>
              <w:rPr>
                <w:rFonts w:hint="eastAsia" w:ascii="宋体" w:hAnsi="宋体"/>
                <w:color w:val="auto"/>
                <w:sz w:val="24"/>
                <w:lang w:val="zh-CN"/>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280" w:lineRule="atLeast"/>
              <w:jc w:val="center"/>
              <w:rPr>
                <w:rFonts w:hint="eastAsia" w:ascii="宋体" w:hAnsi="宋体"/>
                <w:color w:val="auto"/>
                <w:sz w:val="22"/>
                <w:lang w:val="zh-CN"/>
              </w:rPr>
            </w:pPr>
            <w:r>
              <w:rPr>
                <w:rFonts w:hint="default" w:ascii="Times New Roman" w:hAnsi="Times New Roman" w:eastAsia="Times New Roman"/>
                <w:color w:val="auto"/>
                <w:sz w:val="24"/>
                <w:lang w:val="en-US"/>
              </w:rPr>
              <w:t>67</w:t>
            </w:r>
          </w:p>
        </w:tc>
        <w:tc>
          <w:tcPr>
            <w:tcW w:w="3458"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280" w:lineRule="atLeast"/>
              <w:rPr>
                <w:rFonts w:hint="eastAsia" w:ascii="宋体" w:hAnsi="宋体"/>
                <w:color w:val="auto"/>
                <w:sz w:val="22"/>
                <w:lang w:val="zh-CN"/>
              </w:rPr>
            </w:pPr>
            <w:r>
              <w:rPr>
                <w:rFonts w:hint="eastAsia" w:ascii="宋体" w:hAnsi="宋体"/>
                <w:b/>
                <w:color w:val="auto"/>
                <w:sz w:val="24"/>
                <w:lang w:val="zh-CN"/>
              </w:rPr>
              <w:t>学校眼保健操普及率（</w:t>
            </w:r>
            <w:r>
              <w:rPr>
                <w:rFonts w:hint="default" w:ascii="Times New Roman" w:hAnsi="Times New Roman" w:eastAsia="Times New Roman"/>
                <w:b/>
                <w:color w:val="auto"/>
                <w:sz w:val="24"/>
                <w:lang w:val="en-US"/>
              </w:rPr>
              <w:t>%</w:t>
            </w:r>
            <w:r>
              <w:rPr>
                <w:rFonts w:hint="eastAsia" w:ascii="宋体" w:hAnsi="宋体"/>
                <w:b/>
                <w:color w:val="auto"/>
                <w:sz w:val="24"/>
                <w:lang w:val="zh-CN"/>
              </w:rPr>
              <w:t>）</w:t>
            </w:r>
          </w:p>
        </w:tc>
        <w:tc>
          <w:tcPr>
            <w:tcW w:w="2262"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280" w:lineRule="atLeast"/>
              <w:jc w:val="center"/>
              <w:rPr>
                <w:rFonts w:hint="eastAsia" w:ascii="宋体" w:hAnsi="宋体"/>
                <w:color w:val="auto"/>
                <w:sz w:val="22"/>
                <w:lang w:val="zh-CN"/>
              </w:rPr>
            </w:pPr>
            <w:r>
              <w:rPr>
                <w:rFonts w:hint="eastAsia" w:ascii="宋体" w:hAnsi="宋体"/>
                <w:color w:val="auto"/>
                <w:sz w:val="24"/>
                <w:lang w:val="zh-CN"/>
              </w:rPr>
              <w:t>接近</w:t>
            </w:r>
            <w:r>
              <w:rPr>
                <w:rFonts w:hint="default" w:ascii="Times New Roman" w:hAnsi="Times New Roman" w:eastAsia="Times New Roman"/>
                <w:color w:val="auto"/>
                <w:sz w:val="24"/>
                <w:lang w:val="en-US"/>
              </w:rPr>
              <w:t>100</w:t>
            </w:r>
          </w:p>
        </w:tc>
        <w:tc>
          <w:tcPr>
            <w:tcW w:w="2749" w:type="dxa"/>
            <w:gridSpan w:val="3"/>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280" w:lineRule="atLeast"/>
              <w:jc w:val="center"/>
              <w:rPr>
                <w:rFonts w:hint="eastAsia" w:ascii="宋体" w:hAnsi="宋体"/>
                <w:color w:val="auto"/>
                <w:sz w:val="22"/>
                <w:lang w:val="zh-CN"/>
              </w:rPr>
            </w:pPr>
            <w:r>
              <w:rPr>
                <w:rFonts w:hint="default" w:ascii="Times New Roman" w:hAnsi="Times New Roman" w:eastAsia="Times New Roman"/>
                <w:color w:val="auto"/>
                <w:sz w:val="24"/>
                <w:lang w:val="en-US"/>
              </w:rPr>
              <w:t>100</w:t>
            </w:r>
          </w:p>
        </w:tc>
        <w:tc>
          <w:tcPr>
            <w:tcW w:w="105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280" w:lineRule="atLeast"/>
              <w:jc w:val="center"/>
              <w:rPr>
                <w:rFonts w:hint="eastAsia" w:ascii="宋体" w:hAnsi="宋体"/>
                <w:color w:val="auto"/>
                <w:sz w:val="22"/>
                <w:lang w:val="zh-CN"/>
              </w:rPr>
            </w:pPr>
            <w:r>
              <w:rPr>
                <w:rFonts w:hint="eastAsia" w:ascii="宋体" w:hAnsi="宋体"/>
                <w:color w:val="auto"/>
                <w:sz w:val="24"/>
                <w:lang w:val="zh-CN"/>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280" w:lineRule="atLeast"/>
              <w:jc w:val="center"/>
              <w:rPr>
                <w:rFonts w:hint="eastAsia" w:ascii="宋体" w:hAnsi="宋体"/>
                <w:color w:val="auto"/>
                <w:sz w:val="22"/>
                <w:lang w:val="zh-CN"/>
              </w:rPr>
            </w:pPr>
            <w:r>
              <w:rPr>
                <w:rFonts w:hint="default" w:ascii="Times New Roman" w:hAnsi="Times New Roman" w:eastAsia="Times New Roman"/>
                <w:color w:val="auto"/>
                <w:sz w:val="24"/>
                <w:lang w:val="en-US"/>
              </w:rPr>
              <w:t>68</w:t>
            </w:r>
          </w:p>
        </w:tc>
        <w:tc>
          <w:tcPr>
            <w:tcW w:w="3458"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280" w:lineRule="atLeast"/>
              <w:rPr>
                <w:rFonts w:hint="eastAsia" w:ascii="宋体" w:hAnsi="宋体"/>
                <w:color w:val="auto"/>
                <w:sz w:val="22"/>
                <w:lang w:val="zh-CN"/>
              </w:rPr>
            </w:pPr>
            <w:r>
              <w:rPr>
                <w:rFonts w:hint="eastAsia" w:ascii="宋体" w:hAnsi="宋体"/>
                <w:b/>
                <w:color w:val="auto"/>
                <w:sz w:val="24"/>
                <w:lang w:val="zh-CN"/>
              </w:rPr>
              <w:t>寄宿制中小学校或</w:t>
            </w:r>
            <w:r>
              <w:rPr>
                <w:rFonts w:hint="default" w:ascii="Times New Roman" w:hAnsi="Times New Roman" w:eastAsia="Times New Roman"/>
                <w:b/>
                <w:color w:val="auto"/>
                <w:sz w:val="24"/>
                <w:lang w:val="en-US"/>
              </w:rPr>
              <w:t>600</w:t>
            </w:r>
            <w:r>
              <w:rPr>
                <w:rFonts w:hint="eastAsia" w:ascii="宋体" w:hAnsi="宋体"/>
                <w:b/>
                <w:color w:val="auto"/>
                <w:sz w:val="24"/>
                <w:lang w:val="zh-CN"/>
              </w:rPr>
              <w:t>名学生以上的非寄宿制中小学校配备专职卫生专业技术人员、</w:t>
            </w:r>
            <w:r>
              <w:rPr>
                <w:rFonts w:hint="default" w:ascii="Times New Roman" w:hAnsi="Times New Roman" w:eastAsia="Times New Roman"/>
                <w:b/>
                <w:color w:val="auto"/>
                <w:sz w:val="24"/>
                <w:lang w:val="en-US"/>
              </w:rPr>
              <w:t>600</w:t>
            </w:r>
            <w:r>
              <w:rPr>
                <w:rFonts w:hint="eastAsia" w:ascii="宋体" w:hAnsi="宋体"/>
                <w:b/>
                <w:color w:val="auto"/>
                <w:sz w:val="24"/>
                <w:lang w:val="zh-CN"/>
              </w:rPr>
              <w:t>名学生以下的非寄宿制中小学校配备专兼职保健教师或卫生专业技术人员的比例（</w:t>
            </w:r>
            <w:r>
              <w:rPr>
                <w:rFonts w:hint="default" w:ascii="Times New Roman" w:hAnsi="Times New Roman" w:eastAsia="Times New Roman"/>
                <w:b/>
                <w:color w:val="auto"/>
                <w:sz w:val="24"/>
                <w:lang w:val="en-US"/>
              </w:rPr>
              <w:t>%</w:t>
            </w:r>
            <w:r>
              <w:rPr>
                <w:rFonts w:hint="eastAsia" w:ascii="宋体" w:hAnsi="宋体"/>
                <w:b/>
                <w:color w:val="auto"/>
                <w:sz w:val="24"/>
                <w:lang w:val="zh-CN"/>
              </w:rPr>
              <w:t>）</w:t>
            </w:r>
          </w:p>
        </w:tc>
        <w:tc>
          <w:tcPr>
            <w:tcW w:w="2262"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280" w:lineRule="atLeast"/>
              <w:jc w:val="center"/>
              <w:rPr>
                <w:rFonts w:hint="eastAsia" w:ascii="宋体" w:hAnsi="宋体"/>
                <w:color w:val="auto"/>
                <w:sz w:val="22"/>
                <w:lang w:val="zh-CN"/>
              </w:rPr>
            </w:pPr>
            <w:r>
              <w:rPr>
                <w:rFonts w:hint="default" w:ascii="宋体" w:hAnsi="宋体"/>
                <w:color w:val="auto"/>
                <w:sz w:val="24"/>
                <w:lang w:val="zh-CN"/>
              </w:rPr>
              <w:t>—</w:t>
            </w:r>
          </w:p>
        </w:tc>
        <w:tc>
          <w:tcPr>
            <w:tcW w:w="851"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280" w:lineRule="atLeast"/>
              <w:jc w:val="center"/>
              <w:rPr>
                <w:rFonts w:hint="eastAsia" w:ascii="宋体" w:hAnsi="宋体"/>
                <w:color w:val="auto"/>
                <w:sz w:val="22"/>
                <w:lang w:val="zh-CN"/>
              </w:rPr>
            </w:pPr>
            <w:r>
              <w:rPr>
                <w:rFonts w:hint="eastAsia" w:ascii="宋体" w:hAnsi="宋体"/>
                <w:color w:val="auto"/>
                <w:sz w:val="24"/>
                <w:lang w:val="zh-CN"/>
              </w:rPr>
              <w:t>≥</w:t>
            </w:r>
            <w:r>
              <w:rPr>
                <w:rFonts w:hint="default" w:ascii="Times New Roman" w:hAnsi="Times New Roman" w:eastAsia="Times New Roman"/>
                <w:color w:val="auto"/>
                <w:sz w:val="24"/>
                <w:lang w:val="en-US"/>
              </w:rPr>
              <w:t>70</w:t>
            </w:r>
          </w:p>
        </w:tc>
        <w:tc>
          <w:tcPr>
            <w:tcW w:w="1898"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280" w:lineRule="atLeast"/>
              <w:jc w:val="center"/>
              <w:rPr>
                <w:rFonts w:hint="eastAsia" w:ascii="宋体" w:hAnsi="宋体"/>
                <w:color w:val="auto"/>
                <w:sz w:val="22"/>
                <w:lang w:val="zh-CN"/>
              </w:rPr>
            </w:pPr>
            <w:r>
              <w:rPr>
                <w:rFonts w:hint="eastAsia" w:ascii="宋体" w:hAnsi="宋体"/>
                <w:color w:val="auto"/>
                <w:sz w:val="24"/>
                <w:lang w:val="zh-CN"/>
              </w:rPr>
              <w:t>≥</w:t>
            </w:r>
            <w:r>
              <w:rPr>
                <w:rFonts w:hint="default" w:ascii="Times New Roman" w:hAnsi="Times New Roman" w:eastAsia="Times New Roman"/>
                <w:color w:val="auto"/>
                <w:sz w:val="24"/>
                <w:lang w:val="en-US"/>
              </w:rPr>
              <w:t>90</w:t>
            </w:r>
          </w:p>
        </w:tc>
        <w:tc>
          <w:tcPr>
            <w:tcW w:w="105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280" w:lineRule="atLeast"/>
              <w:jc w:val="center"/>
              <w:rPr>
                <w:rFonts w:hint="eastAsia" w:ascii="宋体" w:hAnsi="宋体"/>
                <w:color w:val="auto"/>
                <w:sz w:val="22"/>
                <w:lang w:val="zh-CN"/>
              </w:rPr>
            </w:pPr>
            <w:r>
              <w:rPr>
                <w:rFonts w:hint="eastAsia" w:ascii="宋体" w:hAnsi="宋体"/>
                <w:color w:val="auto"/>
                <w:sz w:val="24"/>
                <w:lang w:val="zh-CN"/>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280" w:lineRule="atLeast"/>
              <w:jc w:val="center"/>
              <w:rPr>
                <w:rFonts w:hint="eastAsia" w:ascii="宋体" w:hAnsi="宋体"/>
                <w:color w:val="auto"/>
                <w:sz w:val="22"/>
                <w:lang w:val="zh-CN"/>
              </w:rPr>
            </w:pPr>
            <w:r>
              <w:rPr>
                <w:rFonts w:hint="default" w:ascii="Times New Roman" w:hAnsi="Times New Roman" w:eastAsia="Times New Roman"/>
                <w:color w:val="auto"/>
                <w:sz w:val="24"/>
                <w:lang w:val="en-US"/>
              </w:rPr>
              <w:t>69</w:t>
            </w:r>
          </w:p>
        </w:tc>
        <w:tc>
          <w:tcPr>
            <w:tcW w:w="3458"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280" w:lineRule="atLeast"/>
              <w:rPr>
                <w:rFonts w:hint="eastAsia" w:ascii="宋体" w:hAnsi="宋体"/>
                <w:color w:val="auto"/>
                <w:sz w:val="22"/>
                <w:lang w:val="zh-CN"/>
              </w:rPr>
            </w:pPr>
            <w:r>
              <w:rPr>
                <w:rFonts w:hint="eastAsia" w:ascii="宋体" w:hAnsi="宋体"/>
                <w:b/>
                <w:color w:val="auto"/>
                <w:sz w:val="24"/>
                <w:lang w:val="zh-CN"/>
              </w:rPr>
              <w:t>配备专兼职心理健康工作人员的中小学校比例（</w:t>
            </w:r>
            <w:r>
              <w:rPr>
                <w:rFonts w:hint="default" w:ascii="Times New Roman" w:hAnsi="Times New Roman" w:eastAsia="Times New Roman"/>
                <w:b/>
                <w:color w:val="auto"/>
                <w:sz w:val="24"/>
                <w:lang w:val="en-US"/>
              </w:rPr>
              <w:t>%</w:t>
            </w:r>
            <w:r>
              <w:rPr>
                <w:rFonts w:hint="eastAsia" w:ascii="宋体" w:hAnsi="宋体"/>
                <w:b/>
                <w:color w:val="auto"/>
                <w:sz w:val="24"/>
                <w:lang w:val="zh-CN"/>
              </w:rPr>
              <w:t>）</w:t>
            </w:r>
          </w:p>
        </w:tc>
        <w:tc>
          <w:tcPr>
            <w:tcW w:w="2262"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280" w:lineRule="atLeast"/>
              <w:jc w:val="center"/>
              <w:rPr>
                <w:rFonts w:hint="eastAsia" w:ascii="宋体" w:hAnsi="宋体"/>
                <w:color w:val="auto"/>
                <w:sz w:val="22"/>
                <w:lang w:val="zh-CN"/>
              </w:rPr>
            </w:pPr>
            <w:r>
              <w:rPr>
                <w:rFonts w:hint="default" w:ascii="宋体" w:hAnsi="宋体"/>
                <w:color w:val="auto"/>
                <w:sz w:val="24"/>
                <w:lang w:val="zh-CN"/>
              </w:rPr>
              <w:t>—</w:t>
            </w:r>
          </w:p>
        </w:tc>
        <w:tc>
          <w:tcPr>
            <w:tcW w:w="851"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280" w:lineRule="atLeast"/>
              <w:jc w:val="center"/>
              <w:rPr>
                <w:rFonts w:hint="eastAsia" w:ascii="宋体" w:hAnsi="宋体"/>
                <w:color w:val="auto"/>
                <w:sz w:val="22"/>
                <w:lang w:val="zh-CN"/>
              </w:rPr>
            </w:pPr>
            <w:r>
              <w:rPr>
                <w:rFonts w:hint="default" w:ascii="Times New Roman" w:hAnsi="Times New Roman" w:eastAsia="Times New Roman"/>
                <w:color w:val="auto"/>
                <w:sz w:val="24"/>
                <w:lang w:val="en-US"/>
              </w:rPr>
              <w:t>80</w:t>
            </w:r>
          </w:p>
        </w:tc>
        <w:tc>
          <w:tcPr>
            <w:tcW w:w="1898"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280" w:lineRule="atLeast"/>
              <w:jc w:val="center"/>
              <w:rPr>
                <w:rFonts w:hint="eastAsia" w:ascii="宋体" w:hAnsi="宋体"/>
                <w:color w:val="auto"/>
                <w:sz w:val="22"/>
                <w:lang w:val="zh-CN"/>
              </w:rPr>
            </w:pPr>
            <w:r>
              <w:rPr>
                <w:rFonts w:hint="default" w:ascii="Times New Roman" w:hAnsi="Times New Roman" w:eastAsia="Times New Roman"/>
                <w:color w:val="auto"/>
                <w:sz w:val="24"/>
                <w:lang w:val="en-US"/>
              </w:rPr>
              <w:t>90</w:t>
            </w:r>
          </w:p>
        </w:tc>
        <w:tc>
          <w:tcPr>
            <w:tcW w:w="105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280" w:lineRule="atLeast"/>
              <w:jc w:val="center"/>
              <w:rPr>
                <w:rFonts w:hint="eastAsia" w:ascii="宋体" w:hAnsi="宋体"/>
                <w:color w:val="auto"/>
                <w:sz w:val="22"/>
                <w:lang w:val="zh-CN"/>
              </w:rPr>
            </w:pPr>
            <w:r>
              <w:rPr>
                <w:rFonts w:hint="eastAsia" w:ascii="宋体" w:hAnsi="宋体"/>
                <w:color w:val="auto"/>
                <w:sz w:val="24"/>
                <w:lang w:val="zh-CN"/>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3" w:hRule="atLeast"/>
          <w:jc w:val="center"/>
        </w:trPr>
        <w:tc>
          <w:tcPr>
            <w:tcW w:w="695"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left"/>
              <w:rPr>
                <w:rFonts w:hint="default" w:ascii="Times New Roman" w:hAnsi="Times New Roman" w:eastAsia="Times New Roman"/>
                <w:color w:val="auto"/>
                <w:sz w:val="32"/>
                <w:lang w:val="en-US"/>
              </w:rPr>
            </w:pPr>
          </w:p>
          <w:p>
            <w:pPr>
              <w:spacing w:beforeLines="0" w:afterLines="0"/>
              <w:jc w:val="center"/>
              <w:rPr>
                <w:rFonts w:hint="default" w:ascii="Times New Roman" w:hAnsi="Times New Roman" w:eastAsia="Times New Roman"/>
                <w:color w:val="auto"/>
                <w:sz w:val="21"/>
                <w:lang w:val="en-US"/>
              </w:rPr>
            </w:pPr>
          </w:p>
          <w:p>
            <w:pPr>
              <w:spacing w:beforeLines="0" w:afterLines="0"/>
              <w:jc w:val="center"/>
              <w:rPr>
                <w:rFonts w:hint="default" w:ascii="Times New Roman" w:hAnsi="Times New Roman" w:eastAsia="Times New Roman"/>
                <w:color w:val="auto"/>
                <w:sz w:val="21"/>
                <w:lang w:val="en-US"/>
              </w:rPr>
            </w:pPr>
          </w:p>
          <w:p>
            <w:pPr>
              <w:spacing w:beforeLines="0" w:afterLines="0"/>
              <w:jc w:val="center"/>
              <w:rPr>
                <w:rFonts w:hint="default" w:ascii="Times New Roman" w:hAnsi="Times New Roman" w:eastAsia="Times New Roman"/>
                <w:color w:val="auto"/>
                <w:sz w:val="21"/>
                <w:lang w:val="en-US"/>
              </w:rPr>
            </w:pPr>
          </w:p>
          <w:p>
            <w:pPr>
              <w:spacing w:beforeLines="0" w:afterLines="0"/>
              <w:jc w:val="center"/>
              <w:rPr>
                <w:rFonts w:hint="default" w:ascii="Times New Roman" w:hAnsi="Times New Roman" w:eastAsia="Times New Roman"/>
                <w:color w:val="auto"/>
                <w:sz w:val="21"/>
                <w:lang w:val="en-US"/>
              </w:rPr>
            </w:pPr>
          </w:p>
          <w:p>
            <w:pPr>
              <w:spacing w:beforeLines="0" w:afterLines="0"/>
              <w:jc w:val="center"/>
              <w:rPr>
                <w:rFonts w:hint="default" w:ascii="Times New Roman" w:hAnsi="Times New Roman" w:eastAsia="Times New Roman"/>
                <w:color w:val="auto"/>
                <w:sz w:val="21"/>
                <w:lang w:val="en-US"/>
              </w:rPr>
            </w:pPr>
          </w:p>
          <w:p>
            <w:pPr>
              <w:spacing w:beforeLines="0" w:afterLines="0"/>
              <w:jc w:val="center"/>
              <w:rPr>
                <w:rFonts w:hint="default" w:ascii="Times New Roman" w:hAnsi="Times New Roman" w:eastAsia="Times New Roman"/>
                <w:color w:val="auto"/>
                <w:sz w:val="21"/>
                <w:lang w:val="en-US"/>
              </w:rPr>
            </w:pPr>
          </w:p>
          <w:p>
            <w:pPr>
              <w:spacing w:beforeLines="0" w:afterLines="0"/>
              <w:jc w:val="center"/>
              <w:rPr>
                <w:rFonts w:hint="default" w:ascii="Times New Roman" w:hAnsi="Times New Roman" w:eastAsia="Times New Roman"/>
                <w:color w:val="auto"/>
                <w:sz w:val="21"/>
                <w:lang w:val="en-US"/>
              </w:rPr>
            </w:pP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1"/>
                <w:lang w:val="zh-CN"/>
              </w:rPr>
              <w:t>（九）</w:t>
            </w:r>
            <w:r>
              <w:rPr>
                <w:rFonts w:hint="eastAsia" w:ascii="宋体" w:hAnsi="宋体"/>
                <w:color w:val="auto"/>
                <w:sz w:val="24"/>
                <w:lang w:val="zh-CN"/>
              </w:rPr>
              <w:t>职</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业</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健</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康</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保</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护</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行</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动</w:t>
            </w:r>
          </w:p>
          <w:p>
            <w:pPr>
              <w:spacing w:beforeLines="0" w:afterLines="0"/>
              <w:jc w:val="center"/>
              <w:rPr>
                <w:rFonts w:hint="default" w:ascii="Times New Roman" w:hAnsi="Times New Roman" w:eastAsia="Times New Roman"/>
                <w:color w:val="auto"/>
                <w:sz w:val="24"/>
                <w:lang w:val="en-US"/>
              </w:rPr>
            </w:pPr>
          </w:p>
          <w:p>
            <w:pPr>
              <w:spacing w:beforeLines="0" w:afterLines="0"/>
              <w:jc w:val="center"/>
              <w:rPr>
                <w:rFonts w:hint="default" w:ascii="Times New Roman" w:hAnsi="Times New Roman" w:eastAsia="Times New Roman"/>
                <w:color w:val="auto"/>
                <w:sz w:val="24"/>
                <w:lang w:val="en-US"/>
              </w:rPr>
            </w:pPr>
          </w:p>
          <w:p>
            <w:pPr>
              <w:spacing w:beforeLines="0" w:afterLines="0"/>
              <w:jc w:val="center"/>
              <w:rPr>
                <w:rFonts w:hint="default" w:ascii="Times New Roman" w:hAnsi="Times New Roman" w:eastAsia="Times New Roman"/>
                <w:color w:val="auto"/>
                <w:sz w:val="24"/>
                <w:lang w:val="en-US"/>
              </w:rPr>
            </w:pPr>
          </w:p>
          <w:p>
            <w:pPr>
              <w:spacing w:beforeLines="0" w:afterLines="0"/>
              <w:jc w:val="center"/>
              <w:rPr>
                <w:rFonts w:hint="default" w:ascii="Times New Roman" w:hAnsi="Times New Roman" w:eastAsia="Times New Roman"/>
                <w:color w:val="auto"/>
                <w:sz w:val="24"/>
                <w:lang w:val="en-US"/>
              </w:rPr>
            </w:pPr>
          </w:p>
          <w:p>
            <w:pPr>
              <w:spacing w:beforeLines="0" w:afterLines="0"/>
              <w:jc w:val="center"/>
              <w:rPr>
                <w:rFonts w:hint="default" w:ascii="Times New Roman" w:hAnsi="Times New Roman" w:eastAsia="Times New Roman"/>
                <w:color w:val="auto"/>
                <w:sz w:val="24"/>
                <w:lang w:val="en-US"/>
              </w:rPr>
            </w:pPr>
          </w:p>
          <w:p>
            <w:pPr>
              <w:spacing w:beforeLines="0" w:afterLines="0"/>
              <w:jc w:val="center"/>
              <w:rPr>
                <w:rFonts w:hint="default" w:ascii="Times New Roman" w:hAnsi="Times New Roman" w:eastAsia="Times New Roman"/>
                <w:color w:val="auto"/>
                <w:sz w:val="24"/>
                <w:lang w:val="en-US"/>
              </w:rPr>
            </w:pPr>
          </w:p>
          <w:p>
            <w:pPr>
              <w:spacing w:beforeLines="0" w:afterLines="0"/>
              <w:jc w:val="center"/>
              <w:rPr>
                <w:rFonts w:hint="default" w:ascii="Times New Roman" w:hAnsi="Times New Roman" w:eastAsia="Times New Roman"/>
                <w:color w:val="auto"/>
                <w:sz w:val="24"/>
                <w:lang w:val="en-US"/>
              </w:rPr>
            </w:pPr>
          </w:p>
          <w:p>
            <w:pPr>
              <w:spacing w:beforeLines="0" w:afterLines="0"/>
              <w:jc w:val="center"/>
              <w:rPr>
                <w:rFonts w:hint="default" w:ascii="Times New Roman" w:hAnsi="Times New Roman" w:eastAsia="Times New Roman"/>
                <w:color w:val="auto"/>
                <w:sz w:val="24"/>
                <w:lang w:val="en-US"/>
              </w:rPr>
            </w:pPr>
          </w:p>
          <w:p>
            <w:pPr>
              <w:spacing w:beforeLines="0" w:afterLines="0"/>
              <w:jc w:val="center"/>
              <w:rPr>
                <w:rFonts w:hint="default" w:ascii="Times New Roman" w:hAnsi="Times New Roman" w:eastAsia="Times New Roman"/>
                <w:color w:val="auto"/>
                <w:sz w:val="24"/>
                <w:lang w:val="en-US"/>
              </w:rPr>
            </w:pP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1"/>
                <w:lang w:val="zh-CN"/>
              </w:rPr>
              <w:t>（九）</w:t>
            </w:r>
            <w:r>
              <w:rPr>
                <w:rFonts w:hint="eastAsia" w:ascii="宋体" w:hAnsi="宋体"/>
                <w:color w:val="auto"/>
                <w:sz w:val="24"/>
                <w:lang w:val="zh-CN"/>
              </w:rPr>
              <w:t>职</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业</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健</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康</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保</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护</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行</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动</w:t>
            </w:r>
          </w:p>
          <w:p>
            <w:pPr>
              <w:spacing w:beforeLines="0" w:afterLines="0"/>
              <w:ind w:firstLine="160"/>
              <w:rPr>
                <w:rFonts w:hint="eastAsia" w:ascii="宋体" w:hAnsi="宋体"/>
                <w:color w:val="auto"/>
                <w:sz w:val="22"/>
                <w:lang w:val="zh-CN"/>
              </w:rPr>
            </w:pPr>
          </w:p>
        </w:tc>
        <w:tc>
          <w:tcPr>
            <w:tcW w:w="10212" w:type="dxa"/>
            <w:gridSpan w:val="8"/>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color w:val="auto"/>
                <w:sz w:val="24"/>
                <w:lang w:val="zh-CN"/>
              </w:rPr>
              <w:t>结果性指标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70</w:t>
            </w:r>
          </w:p>
        </w:tc>
        <w:tc>
          <w:tcPr>
            <w:tcW w:w="3458"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b/>
                <w:color w:val="auto"/>
                <w:sz w:val="24"/>
                <w:lang w:val="zh-CN"/>
              </w:rPr>
              <w:t>工伤保险参保人数（亿人）</w:t>
            </w:r>
          </w:p>
        </w:tc>
        <w:tc>
          <w:tcPr>
            <w:tcW w:w="2262"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2018</w:t>
            </w:r>
            <w:r>
              <w:rPr>
                <w:rFonts w:hint="eastAsia" w:ascii="宋体" w:hAnsi="宋体"/>
                <w:color w:val="auto"/>
                <w:sz w:val="24"/>
                <w:lang w:val="zh-CN"/>
              </w:rPr>
              <w:t>年为</w:t>
            </w:r>
            <w:r>
              <w:rPr>
                <w:rFonts w:hint="default" w:ascii="Times New Roman" w:hAnsi="Times New Roman" w:eastAsia="Times New Roman"/>
                <w:color w:val="auto"/>
                <w:sz w:val="24"/>
                <w:lang w:val="en-US"/>
              </w:rPr>
              <w:t>2.36</w:t>
            </w:r>
          </w:p>
        </w:tc>
        <w:tc>
          <w:tcPr>
            <w:tcW w:w="851"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稳步提升</w:t>
            </w:r>
          </w:p>
        </w:tc>
        <w:tc>
          <w:tcPr>
            <w:tcW w:w="1898"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实现工伤保险法定人群参保全覆盖</w:t>
            </w:r>
          </w:p>
        </w:tc>
        <w:tc>
          <w:tcPr>
            <w:tcW w:w="105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2"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9519" w:type="dxa"/>
            <w:gridSpan w:val="7"/>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color w:val="auto"/>
                <w:sz w:val="21"/>
                <w:lang w:val="zh-CN"/>
              </w:rPr>
              <w:t>说明：工伤保险作为社会保险制度的一个组成部分，是国家通过立法强制实施的，是国家对职工履行的社会责任，也是职工应当享受的基本权利。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71</w:t>
            </w:r>
          </w:p>
        </w:tc>
        <w:tc>
          <w:tcPr>
            <w:tcW w:w="3458"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b/>
                <w:color w:val="auto"/>
                <w:sz w:val="24"/>
                <w:lang w:val="zh-CN"/>
              </w:rPr>
              <w:t>接尘工龄不足</w:t>
            </w:r>
            <w:r>
              <w:rPr>
                <w:rFonts w:hint="default" w:ascii="Times New Roman" w:hAnsi="Times New Roman" w:eastAsia="Times New Roman"/>
                <w:b/>
                <w:color w:val="auto"/>
                <w:sz w:val="24"/>
                <w:lang w:val="en-US"/>
              </w:rPr>
              <w:t>5</w:t>
            </w:r>
            <w:r>
              <w:rPr>
                <w:rFonts w:hint="eastAsia" w:ascii="宋体" w:hAnsi="宋体"/>
                <w:b/>
                <w:color w:val="auto"/>
                <w:sz w:val="24"/>
                <w:lang w:val="zh-CN"/>
              </w:rPr>
              <w:t>年的劳动者新发尘肺病报告例数占年度报告总例数比例（</w:t>
            </w:r>
            <w:r>
              <w:rPr>
                <w:rFonts w:hint="default" w:ascii="Times New Roman" w:hAnsi="Times New Roman" w:eastAsia="Times New Roman"/>
                <w:b/>
                <w:color w:val="auto"/>
                <w:sz w:val="24"/>
                <w:lang w:val="en-US"/>
              </w:rPr>
              <w:t>%</w:t>
            </w:r>
            <w:r>
              <w:rPr>
                <w:rFonts w:hint="eastAsia" w:ascii="宋体" w:hAnsi="宋体"/>
                <w:b/>
                <w:color w:val="auto"/>
                <w:sz w:val="24"/>
                <w:lang w:val="zh-CN"/>
              </w:rPr>
              <w:t>）</w:t>
            </w:r>
          </w:p>
        </w:tc>
        <w:tc>
          <w:tcPr>
            <w:tcW w:w="2262"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宋体" w:hAnsi="宋体"/>
                <w:color w:val="auto"/>
                <w:sz w:val="24"/>
                <w:lang w:val="zh-CN"/>
              </w:rPr>
              <w:t>—</w:t>
            </w:r>
          </w:p>
        </w:tc>
        <w:tc>
          <w:tcPr>
            <w:tcW w:w="851"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明显下降</w:t>
            </w:r>
          </w:p>
        </w:tc>
        <w:tc>
          <w:tcPr>
            <w:tcW w:w="1898"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持续下降</w:t>
            </w:r>
          </w:p>
        </w:tc>
        <w:tc>
          <w:tcPr>
            <w:tcW w:w="105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9519" w:type="dxa"/>
            <w:gridSpan w:val="7"/>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color w:val="auto"/>
                <w:sz w:val="21"/>
                <w:lang w:val="zh-CN"/>
              </w:rPr>
              <w:t>说明：该指标提及的尘肺病是指经职业病诊断机构依据《中华人民共和国职业病防治法》和《职业性尘肺病的诊断》（</w:t>
            </w:r>
            <w:r>
              <w:rPr>
                <w:rFonts w:hint="default" w:ascii="Times New Roman" w:hAnsi="Times New Roman" w:eastAsia="Times New Roman"/>
                <w:color w:val="auto"/>
                <w:sz w:val="21"/>
                <w:lang w:val="en-US"/>
              </w:rPr>
              <w:t>GBZ 70</w:t>
            </w:r>
            <w:r>
              <w:rPr>
                <w:rFonts w:hint="default" w:ascii="宋体" w:hAnsi="宋体"/>
                <w:color w:val="auto"/>
                <w:sz w:val="21"/>
                <w:lang w:val="zh-CN"/>
              </w:rPr>
              <w:t>—</w:t>
            </w:r>
            <w:r>
              <w:rPr>
                <w:rFonts w:hint="default" w:ascii="Times New Roman" w:hAnsi="Times New Roman" w:eastAsia="Times New Roman"/>
                <w:color w:val="auto"/>
                <w:sz w:val="21"/>
                <w:lang w:val="en-US"/>
              </w:rPr>
              <w:t>2015</w:t>
            </w:r>
            <w:r>
              <w:rPr>
                <w:rFonts w:hint="eastAsia" w:ascii="宋体" w:hAnsi="宋体"/>
                <w:color w:val="auto"/>
                <w:sz w:val="21"/>
                <w:lang w:val="zh-CN"/>
              </w:rPr>
              <w:t>）诊断的职业性尘肺病。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10212" w:type="dxa"/>
            <w:gridSpan w:val="8"/>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color w:val="auto"/>
                <w:sz w:val="24"/>
                <w:lang w:val="zh-CN"/>
              </w:rPr>
              <w:t>个人和社会倡导性指标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72</w:t>
            </w:r>
          </w:p>
        </w:tc>
        <w:tc>
          <w:tcPr>
            <w:tcW w:w="3458"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b/>
                <w:color w:val="auto"/>
                <w:spacing w:val="-4"/>
                <w:sz w:val="24"/>
                <w:lang w:val="zh-CN"/>
              </w:rPr>
              <w:t>重点行业劳动者对本岗位主要危害及防护知识知晓率（</w:t>
            </w:r>
            <w:r>
              <w:rPr>
                <w:rFonts w:hint="default" w:ascii="Times New Roman" w:hAnsi="Times New Roman" w:eastAsia="Times New Roman"/>
                <w:b/>
                <w:color w:val="auto"/>
                <w:spacing w:val="-4"/>
                <w:sz w:val="24"/>
                <w:lang w:val="en-US"/>
              </w:rPr>
              <w:t>%</w:t>
            </w:r>
            <w:r>
              <w:rPr>
                <w:rFonts w:hint="eastAsia" w:ascii="宋体" w:hAnsi="宋体"/>
                <w:b/>
                <w:color w:val="auto"/>
                <w:spacing w:val="-4"/>
                <w:sz w:val="24"/>
                <w:lang w:val="zh-CN"/>
              </w:rPr>
              <w:t>）</w:t>
            </w:r>
          </w:p>
        </w:tc>
        <w:tc>
          <w:tcPr>
            <w:tcW w:w="2262"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宋体" w:hAnsi="宋体"/>
                <w:color w:val="auto"/>
                <w:sz w:val="24"/>
                <w:lang w:val="zh-CN"/>
              </w:rPr>
              <w:t>—</w:t>
            </w:r>
          </w:p>
        </w:tc>
        <w:tc>
          <w:tcPr>
            <w:tcW w:w="851"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w:t>
            </w:r>
            <w:r>
              <w:rPr>
                <w:rFonts w:hint="default" w:ascii="Times New Roman" w:hAnsi="Times New Roman" w:eastAsia="Times New Roman"/>
                <w:color w:val="auto"/>
                <w:sz w:val="24"/>
                <w:lang w:val="en-US"/>
              </w:rPr>
              <w:t>90</w:t>
            </w:r>
          </w:p>
        </w:tc>
        <w:tc>
          <w:tcPr>
            <w:tcW w:w="1898"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持续保持</w:t>
            </w:r>
          </w:p>
        </w:tc>
        <w:tc>
          <w:tcPr>
            <w:tcW w:w="105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倡导性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73</w:t>
            </w:r>
          </w:p>
        </w:tc>
        <w:tc>
          <w:tcPr>
            <w:tcW w:w="8469" w:type="dxa"/>
            <w:gridSpan w:val="6"/>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b/>
                <w:color w:val="auto"/>
                <w:sz w:val="24"/>
                <w:lang w:val="zh-CN"/>
              </w:rPr>
              <w:t>鼓励各用人单位做好员工健康管理、评选</w:t>
            </w:r>
            <w:r>
              <w:rPr>
                <w:rFonts w:hint="default" w:ascii="宋体" w:hAnsi="宋体"/>
                <w:b/>
                <w:color w:val="auto"/>
                <w:sz w:val="24"/>
                <w:lang w:val="zh-CN"/>
              </w:rPr>
              <w:t>“</w:t>
            </w:r>
            <w:r>
              <w:rPr>
                <w:rFonts w:hint="eastAsia" w:ascii="宋体" w:hAnsi="宋体"/>
                <w:b/>
                <w:color w:val="auto"/>
                <w:sz w:val="24"/>
                <w:lang w:val="zh-CN"/>
              </w:rPr>
              <w:t>健康达人</w:t>
            </w:r>
            <w:r>
              <w:rPr>
                <w:rFonts w:hint="default" w:ascii="宋体" w:hAnsi="宋体"/>
                <w:b/>
                <w:color w:val="auto"/>
                <w:sz w:val="24"/>
                <w:lang w:val="zh-CN"/>
              </w:rPr>
              <w:t>”</w:t>
            </w:r>
            <w:r>
              <w:rPr>
                <w:rFonts w:hint="eastAsia" w:ascii="宋体" w:hAnsi="宋体"/>
                <w:b/>
                <w:color w:val="auto"/>
                <w:sz w:val="24"/>
                <w:lang w:val="zh-CN"/>
              </w:rPr>
              <w:t>，国家机关、学校、医疗卫生机构、国有企业等用人单位应支持员工率先树立健康形象，并给予奖励</w:t>
            </w:r>
          </w:p>
        </w:tc>
        <w:tc>
          <w:tcPr>
            <w:tcW w:w="105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倡导性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60"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74</w:t>
            </w:r>
          </w:p>
        </w:tc>
        <w:tc>
          <w:tcPr>
            <w:tcW w:w="8469" w:type="dxa"/>
            <w:gridSpan w:val="6"/>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b/>
                <w:color w:val="auto"/>
                <w:sz w:val="24"/>
                <w:lang w:val="zh-CN"/>
              </w:rPr>
              <w:t>对从事长时间、高强度重复用力、快速移动等作业方式以及视屏作业的人员，采取推广先进工艺技术、调整作息时间等措施，预防和控制过度疲劳和工作相关肌肉骨骼系统疾病的发生</w:t>
            </w:r>
          </w:p>
        </w:tc>
        <w:tc>
          <w:tcPr>
            <w:tcW w:w="105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倡导性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75</w:t>
            </w:r>
          </w:p>
        </w:tc>
        <w:tc>
          <w:tcPr>
            <w:tcW w:w="8469" w:type="dxa"/>
            <w:gridSpan w:val="6"/>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b/>
                <w:color w:val="auto"/>
                <w:sz w:val="24"/>
                <w:lang w:val="zh-CN"/>
              </w:rPr>
              <w:t>采取综合措施降低或消除工作压力</w:t>
            </w:r>
          </w:p>
        </w:tc>
        <w:tc>
          <w:tcPr>
            <w:tcW w:w="105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倡导性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10212" w:type="dxa"/>
            <w:gridSpan w:val="8"/>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color w:val="auto"/>
                <w:sz w:val="24"/>
                <w:lang w:val="zh-CN"/>
              </w:rPr>
              <w:t>政府工作指标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76</w:t>
            </w:r>
          </w:p>
        </w:tc>
        <w:tc>
          <w:tcPr>
            <w:tcW w:w="3458"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b/>
                <w:color w:val="auto"/>
                <w:sz w:val="24"/>
                <w:lang w:val="zh-CN"/>
              </w:rPr>
              <w:t>辖区职业健康检查和职业病诊断服务覆盖率（</w:t>
            </w:r>
            <w:r>
              <w:rPr>
                <w:rFonts w:hint="default" w:ascii="Times New Roman" w:hAnsi="Times New Roman" w:eastAsia="Times New Roman"/>
                <w:b/>
                <w:color w:val="auto"/>
                <w:sz w:val="24"/>
                <w:lang w:val="en-US"/>
              </w:rPr>
              <w:t>%</w:t>
            </w:r>
            <w:r>
              <w:rPr>
                <w:rFonts w:hint="eastAsia" w:ascii="宋体" w:hAnsi="宋体"/>
                <w:b/>
                <w:color w:val="auto"/>
                <w:sz w:val="24"/>
                <w:lang w:val="zh-CN"/>
              </w:rPr>
              <w:t>）</w:t>
            </w:r>
          </w:p>
        </w:tc>
        <w:tc>
          <w:tcPr>
            <w:tcW w:w="2262"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宋体" w:hAnsi="宋体"/>
                <w:color w:val="auto"/>
                <w:sz w:val="24"/>
                <w:lang w:val="zh-CN"/>
              </w:rPr>
              <w:t>—</w:t>
            </w:r>
          </w:p>
        </w:tc>
        <w:tc>
          <w:tcPr>
            <w:tcW w:w="851"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w:t>
            </w:r>
            <w:r>
              <w:rPr>
                <w:rFonts w:hint="default" w:ascii="Times New Roman" w:hAnsi="Times New Roman" w:eastAsia="Times New Roman"/>
                <w:color w:val="auto"/>
                <w:sz w:val="24"/>
                <w:lang w:val="en-US"/>
              </w:rPr>
              <w:t>80</w:t>
            </w:r>
          </w:p>
        </w:tc>
        <w:tc>
          <w:tcPr>
            <w:tcW w:w="1898"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w:t>
            </w:r>
            <w:r>
              <w:rPr>
                <w:rFonts w:hint="default" w:ascii="Times New Roman" w:hAnsi="Times New Roman" w:eastAsia="Times New Roman"/>
                <w:color w:val="auto"/>
                <w:sz w:val="24"/>
                <w:lang w:val="en-US"/>
              </w:rPr>
              <w:t>90</w:t>
            </w:r>
          </w:p>
        </w:tc>
        <w:tc>
          <w:tcPr>
            <w:tcW w:w="105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08"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9519" w:type="dxa"/>
            <w:gridSpan w:val="7"/>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color w:val="auto"/>
                <w:sz w:val="21"/>
                <w:lang w:val="zh-CN"/>
              </w:rPr>
              <w:t>说明：《职业病防治规划（</w:t>
            </w:r>
            <w:r>
              <w:rPr>
                <w:rFonts w:hint="default" w:ascii="Times New Roman" w:hAnsi="Times New Roman" w:eastAsia="Times New Roman"/>
                <w:color w:val="auto"/>
                <w:sz w:val="21"/>
                <w:lang w:val="en-US"/>
              </w:rPr>
              <w:t>2016</w:t>
            </w:r>
            <w:r>
              <w:rPr>
                <w:rFonts w:hint="default" w:ascii="宋体" w:hAnsi="宋体"/>
                <w:color w:val="auto"/>
                <w:sz w:val="21"/>
                <w:lang w:val="zh-CN"/>
              </w:rPr>
              <w:t>—</w:t>
            </w:r>
            <w:r>
              <w:rPr>
                <w:rFonts w:hint="default" w:ascii="Times New Roman" w:hAnsi="Times New Roman" w:eastAsia="Times New Roman"/>
                <w:color w:val="auto"/>
                <w:sz w:val="21"/>
                <w:lang w:val="en-US"/>
              </w:rPr>
              <w:t>2020</w:t>
            </w:r>
            <w:r>
              <w:rPr>
                <w:rFonts w:hint="eastAsia" w:ascii="宋体" w:hAnsi="宋体"/>
                <w:color w:val="auto"/>
                <w:sz w:val="21"/>
                <w:lang w:val="zh-CN"/>
              </w:rPr>
              <w:t>）》规定，各级政府部门应健全职业病防治服务网络，显著提高职业病防治的服务水平。该指标指设区的市至少有</w:t>
            </w:r>
            <w:r>
              <w:rPr>
                <w:rFonts w:hint="default" w:ascii="Times New Roman" w:hAnsi="Times New Roman" w:eastAsia="Times New Roman"/>
                <w:color w:val="auto"/>
                <w:sz w:val="21"/>
                <w:lang w:val="en-US"/>
              </w:rPr>
              <w:t>1</w:t>
            </w:r>
            <w:r>
              <w:rPr>
                <w:rFonts w:hint="eastAsia" w:ascii="宋体" w:hAnsi="宋体"/>
                <w:color w:val="auto"/>
                <w:sz w:val="21"/>
                <w:lang w:val="zh-CN"/>
              </w:rPr>
              <w:t>家医疗卫生机构承担本辖区内职业病诊断工作，县级行政区域原则上至少有</w:t>
            </w:r>
            <w:r>
              <w:rPr>
                <w:rFonts w:hint="default" w:ascii="Times New Roman" w:hAnsi="Times New Roman" w:eastAsia="Times New Roman"/>
                <w:color w:val="auto"/>
                <w:sz w:val="21"/>
                <w:lang w:val="en-US"/>
              </w:rPr>
              <w:t>1</w:t>
            </w:r>
            <w:r>
              <w:rPr>
                <w:rFonts w:hint="eastAsia" w:ascii="宋体" w:hAnsi="宋体"/>
                <w:color w:val="auto"/>
                <w:sz w:val="21"/>
                <w:lang w:val="zh-CN"/>
              </w:rPr>
              <w:t>家医疗卫生机构承担本辖区职业健康检查工作，实现</w:t>
            </w:r>
            <w:r>
              <w:rPr>
                <w:rFonts w:hint="default" w:ascii="宋体" w:hAnsi="宋体"/>
                <w:color w:val="auto"/>
                <w:sz w:val="21"/>
                <w:lang w:val="zh-CN"/>
              </w:rPr>
              <w:t>“</w:t>
            </w:r>
            <w:r>
              <w:rPr>
                <w:rFonts w:hint="eastAsia" w:ascii="宋体" w:hAnsi="宋体"/>
                <w:color w:val="auto"/>
                <w:sz w:val="21"/>
                <w:lang w:val="zh-CN"/>
              </w:rPr>
              <w:t>地市能诊断，县区能体检</w:t>
            </w:r>
            <w:r>
              <w:rPr>
                <w:rFonts w:hint="default" w:ascii="宋体" w:hAnsi="宋体"/>
                <w:color w:val="auto"/>
                <w:sz w:val="21"/>
                <w:lang w:val="zh-CN"/>
              </w:rPr>
              <w:t>”</w:t>
            </w:r>
            <w:r>
              <w:rPr>
                <w:rFonts w:hint="eastAsia" w:ascii="宋体" w:hAnsi="宋体"/>
                <w:color w:val="auto"/>
                <w:sz w:val="21"/>
                <w:lang w:val="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2" w:hRule="atLeast"/>
          <w:jc w:val="center"/>
        </w:trPr>
        <w:tc>
          <w:tcPr>
            <w:tcW w:w="695"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default" w:ascii="Times New Roman" w:hAnsi="Times New Roman" w:eastAsia="Times New Roman"/>
                <w:color w:val="auto"/>
                <w:sz w:val="32"/>
                <w:lang w:val="en-US"/>
              </w:rPr>
            </w:pPr>
          </w:p>
          <w:p>
            <w:pPr>
              <w:spacing w:beforeLines="0" w:afterLines="0"/>
              <w:jc w:val="center"/>
              <w:rPr>
                <w:rFonts w:hint="default" w:ascii="Times New Roman" w:hAnsi="Times New Roman" w:eastAsia="Times New Roman"/>
                <w:color w:val="auto"/>
                <w:sz w:val="32"/>
                <w:lang w:val="en-US"/>
              </w:rPr>
            </w:pPr>
          </w:p>
          <w:p>
            <w:pPr>
              <w:spacing w:beforeLines="0" w:afterLines="0"/>
              <w:jc w:val="center"/>
              <w:rPr>
                <w:rFonts w:hint="default" w:ascii="Times New Roman" w:hAnsi="Times New Roman" w:eastAsia="Times New Roman"/>
                <w:color w:val="auto"/>
                <w:sz w:val="32"/>
                <w:lang w:val="en-US"/>
              </w:rPr>
            </w:pPr>
          </w:p>
          <w:p>
            <w:pPr>
              <w:spacing w:beforeLines="0" w:afterLines="0"/>
              <w:jc w:val="center"/>
              <w:rPr>
                <w:rFonts w:hint="default" w:ascii="Times New Roman" w:hAnsi="Times New Roman" w:eastAsia="Times New Roman"/>
                <w:color w:val="auto"/>
                <w:sz w:val="32"/>
                <w:lang w:val="en-US"/>
              </w:rPr>
            </w:pPr>
          </w:p>
          <w:p>
            <w:pPr>
              <w:spacing w:beforeLines="0" w:afterLines="0"/>
              <w:jc w:val="center"/>
              <w:rPr>
                <w:rFonts w:hint="default" w:ascii="Times New Roman" w:hAnsi="Times New Roman" w:eastAsia="Times New Roman"/>
                <w:color w:val="auto"/>
                <w:sz w:val="32"/>
                <w:lang w:val="en-US"/>
              </w:rPr>
            </w:pPr>
          </w:p>
          <w:p>
            <w:pPr>
              <w:spacing w:beforeLines="0" w:afterLines="0"/>
              <w:jc w:val="center"/>
              <w:rPr>
                <w:rFonts w:hint="default" w:ascii="Times New Roman" w:hAnsi="Times New Roman" w:eastAsia="Times New Roman"/>
                <w:color w:val="auto"/>
                <w:sz w:val="32"/>
                <w:lang w:val="en-US"/>
              </w:rPr>
            </w:pPr>
          </w:p>
          <w:p>
            <w:pPr>
              <w:spacing w:beforeLines="0" w:afterLines="0"/>
              <w:jc w:val="center"/>
              <w:rPr>
                <w:rFonts w:hint="default" w:ascii="Times New Roman" w:hAnsi="Times New Roman" w:eastAsia="Times New Roman"/>
                <w:color w:val="auto"/>
                <w:sz w:val="32"/>
                <w:lang w:val="en-US"/>
              </w:rPr>
            </w:pP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1"/>
                <w:lang w:val="zh-CN"/>
              </w:rPr>
              <w:t>（十）</w:t>
            </w:r>
            <w:r>
              <w:rPr>
                <w:rFonts w:hint="eastAsia" w:ascii="宋体" w:hAnsi="宋体"/>
                <w:color w:val="auto"/>
                <w:sz w:val="24"/>
                <w:lang w:val="zh-CN"/>
              </w:rPr>
              <w:t>老</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年</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健</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康</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促</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进</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行</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动</w:t>
            </w:r>
          </w:p>
          <w:p>
            <w:pPr>
              <w:spacing w:beforeLines="0" w:afterLines="0"/>
              <w:jc w:val="center"/>
              <w:rPr>
                <w:rFonts w:hint="default" w:ascii="Times New Roman" w:hAnsi="Times New Roman" w:eastAsia="Times New Roman"/>
                <w:color w:val="auto"/>
                <w:sz w:val="21"/>
                <w:lang w:val="en-US"/>
              </w:rPr>
            </w:pPr>
          </w:p>
          <w:p>
            <w:pPr>
              <w:spacing w:beforeLines="0" w:afterLines="0"/>
              <w:jc w:val="center"/>
              <w:rPr>
                <w:rFonts w:hint="default" w:ascii="Times New Roman" w:hAnsi="Times New Roman" w:eastAsia="Times New Roman"/>
                <w:color w:val="auto"/>
                <w:sz w:val="21"/>
                <w:lang w:val="en-US"/>
              </w:rPr>
            </w:pPr>
          </w:p>
          <w:p>
            <w:pPr>
              <w:spacing w:beforeLines="0" w:afterLines="0"/>
              <w:jc w:val="center"/>
              <w:rPr>
                <w:rFonts w:hint="default" w:ascii="Times New Roman" w:hAnsi="Times New Roman" w:eastAsia="Times New Roman"/>
                <w:color w:val="auto"/>
                <w:sz w:val="21"/>
                <w:lang w:val="en-US"/>
              </w:rPr>
            </w:pPr>
          </w:p>
          <w:p>
            <w:pPr>
              <w:spacing w:beforeLines="0" w:afterLines="0"/>
              <w:jc w:val="center"/>
              <w:rPr>
                <w:rFonts w:hint="default" w:ascii="Times New Roman" w:hAnsi="Times New Roman" w:eastAsia="Times New Roman"/>
                <w:color w:val="auto"/>
                <w:sz w:val="21"/>
                <w:lang w:val="en-US"/>
              </w:rPr>
            </w:pPr>
          </w:p>
          <w:p>
            <w:pPr>
              <w:spacing w:beforeLines="0" w:afterLines="0"/>
              <w:jc w:val="center"/>
              <w:rPr>
                <w:rFonts w:hint="default" w:ascii="Times New Roman" w:hAnsi="Times New Roman" w:eastAsia="Times New Roman"/>
                <w:color w:val="auto"/>
                <w:sz w:val="21"/>
                <w:lang w:val="en-US"/>
              </w:rPr>
            </w:pPr>
          </w:p>
          <w:p>
            <w:pPr>
              <w:spacing w:beforeLines="0" w:afterLines="0"/>
              <w:jc w:val="center"/>
              <w:rPr>
                <w:rFonts w:hint="default" w:ascii="Times New Roman" w:hAnsi="Times New Roman" w:eastAsia="Times New Roman"/>
                <w:color w:val="auto"/>
                <w:sz w:val="21"/>
                <w:lang w:val="en-US"/>
              </w:rPr>
            </w:pPr>
          </w:p>
          <w:p>
            <w:pPr>
              <w:spacing w:beforeLines="0" w:afterLines="0"/>
              <w:jc w:val="center"/>
              <w:rPr>
                <w:rFonts w:hint="default" w:ascii="Times New Roman" w:hAnsi="Times New Roman" w:eastAsia="Times New Roman"/>
                <w:color w:val="auto"/>
                <w:sz w:val="21"/>
                <w:lang w:val="en-US"/>
              </w:rPr>
            </w:pPr>
          </w:p>
          <w:p>
            <w:pPr>
              <w:spacing w:beforeLines="0" w:afterLines="0"/>
              <w:jc w:val="center"/>
              <w:rPr>
                <w:rFonts w:hint="default" w:ascii="Times New Roman" w:hAnsi="Times New Roman" w:eastAsia="Times New Roman"/>
                <w:color w:val="auto"/>
                <w:sz w:val="21"/>
                <w:lang w:val="en-US"/>
              </w:rPr>
            </w:pPr>
          </w:p>
          <w:p>
            <w:pPr>
              <w:spacing w:beforeLines="0" w:afterLines="0"/>
              <w:jc w:val="center"/>
              <w:rPr>
                <w:rFonts w:hint="default" w:ascii="Times New Roman" w:hAnsi="Times New Roman" w:eastAsia="Times New Roman"/>
                <w:color w:val="auto"/>
                <w:sz w:val="21"/>
                <w:lang w:val="en-US"/>
              </w:rPr>
            </w:pPr>
          </w:p>
          <w:p>
            <w:pPr>
              <w:spacing w:beforeLines="0" w:afterLines="0"/>
              <w:jc w:val="center"/>
              <w:rPr>
                <w:rFonts w:hint="default" w:ascii="Times New Roman" w:hAnsi="Times New Roman" w:eastAsia="Times New Roman"/>
                <w:color w:val="auto"/>
                <w:sz w:val="21"/>
                <w:lang w:val="en-US"/>
              </w:rPr>
            </w:pPr>
          </w:p>
          <w:p>
            <w:pPr>
              <w:spacing w:beforeLines="0" w:afterLines="0"/>
              <w:jc w:val="center"/>
              <w:rPr>
                <w:rFonts w:hint="default" w:ascii="Times New Roman" w:hAnsi="Times New Roman" w:eastAsia="Times New Roman"/>
                <w:color w:val="auto"/>
                <w:sz w:val="21"/>
                <w:lang w:val="en-US"/>
              </w:rPr>
            </w:pPr>
          </w:p>
          <w:p>
            <w:pPr>
              <w:spacing w:beforeLines="0" w:afterLines="0"/>
              <w:jc w:val="center"/>
              <w:rPr>
                <w:rFonts w:hint="default" w:ascii="Times New Roman" w:hAnsi="Times New Roman" w:eastAsia="Times New Roman"/>
                <w:color w:val="auto"/>
                <w:sz w:val="21"/>
                <w:lang w:val="en-US"/>
              </w:rPr>
            </w:pP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1"/>
                <w:lang w:val="zh-CN"/>
              </w:rPr>
              <w:t>（十）</w:t>
            </w:r>
            <w:r>
              <w:rPr>
                <w:rFonts w:hint="eastAsia" w:ascii="宋体" w:hAnsi="宋体"/>
                <w:color w:val="auto"/>
                <w:sz w:val="24"/>
                <w:lang w:val="zh-CN"/>
              </w:rPr>
              <w:t>老</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年</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健</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康</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促</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进</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行</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动</w:t>
            </w:r>
          </w:p>
          <w:p>
            <w:pPr>
              <w:spacing w:beforeLines="0" w:afterLines="0"/>
              <w:rPr>
                <w:rFonts w:hint="eastAsia" w:ascii="宋体" w:hAnsi="宋体"/>
                <w:color w:val="auto"/>
                <w:sz w:val="22"/>
                <w:lang w:val="zh-CN"/>
              </w:rPr>
            </w:pPr>
          </w:p>
        </w:tc>
        <w:tc>
          <w:tcPr>
            <w:tcW w:w="10212" w:type="dxa"/>
            <w:gridSpan w:val="8"/>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color w:val="auto"/>
                <w:sz w:val="24"/>
                <w:lang w:val="zh-CN"/>
              </w:rPr>
              <w:t>结果性指标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77</w:t>
            </w:r>
          </w:p>
        </w:tc>
        <w:tc>
          <w:tcPr>
            <w:tcW w:w="3458"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default" w:ascii="Times New Roman" w:hAnsi="Times New Roman" w:eastAsia="Times New Roman"/>
                <w:b/>
                <w:color w:val="auto"/>
                <w:sz w:val="24"/>
                <w:lang w:val="en-US"/>
              </w:rPr>
              <w:t>65</w:t>
            </w:r>
            <w:r>
              <w:rPr>
                <w:rFonts w:hint="eastAsia" w:ascii="宋体" w:hAnsi="宋体"/>
                <w:b/>
                <w:color w:val="auto"/>
                <w:sz w:val="24"/>
                <w:lang w:val="zh-CN"/>
              </w:rPr>
              <w:t>～</w:t>
            </w:r>
            <w:r>
              <w:rPr>
                <w:rFonts w:hint="default" w:ascii="Times New Roman" w:hAnsi="Times New Roman" w:eastAsia="Times New Roman"/>
                <w:b/>
                <w:color w:val="auto"/>
                <w:sz w:val="24"/>
                <w:lang w:val="en-US"/>
              </w:rPr>
              <w:t>74</w:t>
            </w:r>
            <w:r>
              <w:rPr>
                <w:rFonts w:hint="eastAsia" w:ascii="宋体" w:hAnsi="宋体"/>
                <w:b/>
                <w:color w:val="auto"/>
                <w:sz w:val="24"/>
                <w:lang w:val="zh-CN"/>
              </w:rPr>
              <w:t>岁老年人失能发生率（</w:t>
            </w:r>
            <w:r>
              <w:rPr>
                <w:rFonts w:hint="default" w:ascii="Times New Roman" w:hAnsi="Times New Roman" w:eastAsia="Times New Roman"/>
                <w:b/>
                <w:color w:val="auto"/>
                <w:sz w:val="24"/>
                <w:lang w:val="en-US"/>
              </w:rPr>
              <w:t>%</w:t>
            </w:r>
            <w:r>
              <w:rPr>
                <w:rFonts w:hint="eastAsia" w:ascii="宋体" w:hAnsi="宋体"/>
                <w:b/>
                <w:color w:val="auto"/>
                <w:sz w:val="24"/>
                <w:lang w:val="zh-CN"/>
              </w:rPr>
              <w:t>）</w:t>
            </w:r>
          </w:p>
        </w:tc>
        <w:tc>
          <w:tcPr>
            <w:tcW w:w="2262"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2015</w:t>
            </w:r>
            <w:r>
              <w:rPr>
                <w:rFonts w:hint="eastAsia" w:ascii="宋体" w:hAnsi="宋体"/>
                <w:color w:val="auto"/>
                <w:sz w:val="24"/>
                <w:lang w:val="zh-CN"/>
              </w:rPr>
              <w:t>年为</w:t>
            </w:r>
            <w:r>
              <w:rPr>
                <w:rFonts w:hint="default" w:ascii="Times New Roman" w:hAnsi="Times New Roman" w:eastAsia="Times New Roman"/>
                <w:color w:val="auto"/>
                <w:sz w:val="24"/>
                <w:lang w:val="en-US"/>
              </w:rPr>
              <w:t>18.3</w:t>
            </w:r>
          </w:p>
        </w:tc>
        <w:tc>
          <w:tcPr>
            <w:tcW w:w="2749" w:type="dxa"/>
            <w:gridSpan w:val="3"/>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有所下降</w:t>
            </w:r>
          </w:p>
        </w:tc>
        <w:tc>
          <w:tcPr>
            <w:tcW w:w="105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9519" w:type="dxa"/>
            <w:gridSpan w:val="7"/>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default" w:ascii="Times New Roman" w:hAnsi="Times New Roman" w:eastAsia="Times New Roman"/>
                <w:color w:val="auto"/>
                <w:sz w:val="21"/>
                <w:lang w:val="en-US"/>
              </w:rPr>
            </w:pPr>
            <w:r>
              <w:rPr>
                <w:rFonts w:hint="eastAsia" w:ascii="宋体" w:hAnsi="宋体"/>
                <w:color w:val="auto"/>
                <w:sz w:val="21"/>
                <w:lang w:val="zh-CN"/>
              </w:rPr>
              <w:t>说明：降低</w:t>
            </w:r>
            <w:r>
              <w:rPr>
                <w:rFonts w:hint="default" w:ascii="Times New Roman" w:hAnsi="Times New Roman" w:eastAsia="Times New Roman"/>
                <w:color w:val="auto"/>
                <w:sz w:val="21"/>
                <w:lang w:val="en-US"/>
              </w:rPr>
              <w:t>65</w:t>
            </w:r>
            <w:r>
              <w:rPr>
                <w:rFonts w:hint="eastAsia" w:ascii="宋体" w:hAnsi="宋体"/>
                <w:color w:val="auto"/>
                <w:sz w:val="21"/>
                <w:lang w:val="zh-CN"/>
              </w:rPr>
              <w:t>～</w:t>
            </w:r>
            <w:r>
              <w:rPr>
                <w:rFonts w:hint="default" w:ascii="Times New Roman" w:hAnsi="Times New Roman" w:eastAsia="Times New Roman"/>
                <w:color w:val="auto"/>
                <w:sz w:val="21"/>
                <w:lang w:val="en-US"/>
              </w:rPr>
              <w:t>74</w:t>
            </w:r>
            <w:r>
              <w:rPr>
                <w:rFonts w:hint="eastAsia" w:ascii="宋体" w:hAnsi="宋体"/>
                <w:color w:val="auto"/>
                <w:sz w:val="21"/>
                <w:lang w:val="zh-CN"/>
              </w:rPr>
              <w:t>岁老年人失能发生率，将失能的发生尽可能延迟至生命的终末期，维持老年人的功能发挥，是世界卫生组织提倡的健康老龄化目标之一。</w:t>
            </w:r>
          </w:p>
          <w:p>
            <w:pPr>
              <w:spacing w:beforeLines="0" w:afterLines="0"/>
              <w:rPr>
                <w:rFonts w:hint="eastAsia" w:ascii="宋体" w:hAnsi="宋体"/>
                <w:color w:val="auto"/>
                <w:sz w:val="22"/>
                <w:lang w:val="zh-CN"/>
              </w:rPr>
            </w:pPr>
            <w:r>
              <w:rPr>
                <w:rFonts w:hint="eastAsia" w:ascii="宋体" w:hAnsi="宋体"/>
                <w:color w:val="auto"/>
                <w:sz w:val="21"/>
                <w:lang w:val="zh-CN"/>
              </w:rPr>
              <w:t>计算方法：</w:t>
            </w:r>
            <w:r>
              <w:rPr>
                <w:rFonts w:hint="default" w:ascii="Times New Roman" w:hAnsi="Times New Roman" w:eastAsia="Times New Roman"/>
                <w:color w:val="auto"/>
                <w:sz w:val="21"/>
                <w:lang w:val="en-US"/>
              </w:rPr>
              <w:t>65</w:t>
            </w:r>
            <w:r>
              <w:rPr>
                <w:rFonts w:hint="eastAsia" w:ascii="宋体" w:hAnsi="宋体"/>
                <w:color w:val="auto"/>
                <w:sz w:val="21"/>
                <w:lang w:val="zh-CN"/>
              </w:rPr>
              <w:t>～</w:t>
            </w:r>
            <w:r>
              <w:rPr>
                <w:rFonts w:hint="default" w:ascii="Times New Roman" w:hAnsi="Times New Roman" w:eastAsia="Times New Roman"/>
                <w:color w:val="auto"/>
                <w:sz w:val="21"/>
                <w:lang w:val="en-US"/>
              </w:rPr>
              <w:t>74</w:t>
            </w:r>
            <w:r>
              <w:rPr>
                <w:rFonts w:hint="eastAsia" w:ascii="宋体" w:hAnsi="宋体"/>
                <w:color w:val="auto"/>
                <w:sz w:val="21"/>
                <w:lang w:val="zh-CN"/>
              </w:rPr>
              <w:t>岁失能老年人数</w:t>
            </w:r>
            <w:r>
              <w:rPr>
                <w:rFonts w:hint="default" w:ascii="Times New Roman" w:hAnsi="Times New Roman" w:eastAsia="Times New Roman"/>
                <w:color w:val="auto"/>
                <w:sz w:val="21"/>
                <w:lang w:val="en-US"/>
              </w:rPr>
              <w:t>/65</w:t>
            </w:r>
            <w:r>
              <w:rPr>
                <w:rFonts w:hint="eastAsia" w:ascii="宋体" w:hAnsi="宋体"/>
                <w:color w:val="auto"/>
                <w:sz w:val="21"/>
                <w:lang w:val="zh-CN"/>
              </w:rPr>
              <w:t>～</w:t>
            </w:r>
            <w:r>
              <w:rPr>
                <w:rFonts w:hint="default" w:ascii="Times New Roman" w:hAnsi="Times New Roman" w:eastAsia="Times New Roman"/>
                <w:color w:val="auto"/>
                <w:sz w:val="21"/>
                <w:lang w:val="en-US"/>
              </w:rPr>
              <w:t>74</w:t>
            </w:r>
            <w:r>
              <w:rPr>
                <w:rFonts w:hint="eastAsia" w:ascii="宋体" w:hAnsi="宋体"/>
                <w:color w:val="auto"/>
                <w:sz w:val="21"/>
                <w:lang w:val="zh-CN"/>
              </w:rPr>
              <w:t>岁老年总人数×</w:t>
            </w:r>
            <w:r>
              <w:rPr>
                <w:rFonts w:hint="default" w:ascii="Times New Roman" w:hAnsi="Times New Roman" w:eastAsia="Times New Roman"/>
                <w:color w:val="auto"/>
                <w:sz w:val="21"/>
                <w:lang w:val="en-US"/>
              </w:rPr>
              <w:t>100%</w:t>
            </w:r>
            <w:r>
              <w:rPr>
                <w:rFonts w:hint="eastAsia" w:ascii="宋体" w:hAnsi="宋体"/>
                <w:color w:val="auto"/>
                <w:sz w:val="21"/>
                <w:lang w:val="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78</w:t>
            </w:r>
          </w:p>
        </w:tc>
        <w:tc>
          <w:tcPr>
            <w:tcW w:w="3458"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default" w:ascii="Times New Roman" w:hAnsi="Times New Roman" w:eastAsia="Times New Roman"/>
                <w:b/>
                <w:color w:val="auto"/>
                <w:sz w:val="24"/>
                <w:lang w:val="en-US"/>
              </w:rPr>
              <w:t>65</w:t>
            </w:r>
            <w:r>
              <w:rPr>
                <w:rFonts w:hint="eastAsia" w:ascii="宋体" w:hAnsi="宋体"/>
                <w:b/>
                <w:color w:val="auto"/>
                <w:sz w:val="24"/>
                <w:lang w:val="zh-CN"/>
              </w:rPr>
              <w:t>岁及以上人群老年期痴呆患病率（</w:t>
            </w:r>
            <w:r>
              <w:rPr>
                <w:rFonts w:hint="default" w:ascii="Times New Roman" w:hAnsi="Times New Roman" w:eastAsia="Times New Roman"/>
                <w:b/>
                <w:color w:val="auto"/>
                <w:sz w:val="24"/>
                <w:lang w:val="en-US"/>
              </w:rPr>
              <w:t>%</w:t>
            </w:r>
            <w:r>
              <w:rPr>
                <w:rFonts w:hint="eastAsia" w:ascii="宋体" w:hAnsi="宋体"/>
                <w:b/>
                <w:color w:val="auto"/>
                <w:sz w:val="24"/>
                <w:lang w:val="zh-CN"/>
              </w:rPr>
              <w:t>）</w:t>
            </w:r>
          </w:p>
        </w:tc>
        <w:tc>
          <w:tcPr>
            <w:tcW w:w="2262"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5.56</w:t>
            </w:r>
          </w:p>
        </w:tc>
        <w:tc>
          <w:tcPr>
            <w:tcW w:w="2749" w:type="dxa"/>
            <w:gridSpan w:val="3"/>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增速下降</w:t>
            </w:r>
          </w:p>
        </w:tc>
        <w:tc>
          <w:tcPr>
            <w:tcW w:w="105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9519" w:type="dxa"/>
            <w:gridSpan w:val="7"/>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default" w:ascii="Times New Roman" w:hAnsi="Times New Roman" w:eastAsia="Times New Roman"/>
                <w:color w:val="auto"/>
                <w:sz w:val="21"/>
                <w:lang w:val="en-US"/>
              </w:rPr>
            </w:pPr>
            <w:r>
              <w:rPr>
                <w:rFonts w:hint="eastAsia" w:ascii="宋体" w:hAnsi="宋体"/>
                <w:color w:val="auto"/>
                <w:sz w:val="21"/>
                <w:lang w:val="zh-CN"/>
              </w:rPr>
              <w:t>说明：据预测，随着老龄化发展，老年痴呆患者绝对数量将呈上升趋势，我国老年期痴呆患病率将略有上升。美国老年期痴呆患病率</w:t>
            </w:r>
            <w:r>
              <w:rPr>
                <w:rFonts w:hint="default" w:ascii="Times New Roman" w:hAnsi="Times New Roman" w:eastAsia="Times New Roman"/>
                <w:color w:val="auto"/>
                <w:sz w:val="21"/>
                <w:lang w:val="en-US"/>
              </w:rPr>
              <w:t>2012</w:t>
            </w:r>
            <w:r>
              <w:rPr>
                <w:rFonts w:hint="eastAsia" w:ascii="宋体" w:hAnsi="宋体"/>
                <w:color w:val="auto"/>
                <w:sz w:val="21"/>
                <w:lang w:val="zh-CN"/>
              </w:rPr>
              <w:t>年为</w:t>
            </w:r>
            <w:r>
              <w:rPr>
                <w:rFonts w:hint="default" w:ascii="Times New Roman" w:hAnsi="Times New Roman" w:eastAsia="Times New Roman"/>
                <w:color w:val="auto"/>
                <w:sz w:val="21"/>
                <w:lang w:val="en-US"/>
              </w:rPr>
              <w:t>11.6%</w:t>
            </w:r>
            <w:r>
              <w:rPr>
                <w:rFonts w:hint="eastAsia" w:ascii="宋体" w:hAnsi="宋体"/>
                <w:color w:val="auto"/>
                <w:sz w:val="21"/>
                <w:lang w:val="zh-CN"/>
              </w:rPr>
              <w:t>，日本</w:t>
            </w:r>
            <w:r>
              <w:rPr>
                <w:rFonts w:hint="default" w:ascii="Times New Roman" w:hAnsi="Times New Roman" w:eastAsia="Times New Roman"/>
                <w:color w:val="auto"/>
                <w:sz w:val="21"/>
                <w:lang w:val="en-US"/>
              </w:rPr>
              <w:t>2001</w:t>
            </w:r>
            <w:r>
              <w:rPr>
                <w:rFonts w:hint="eastAsia" w:ascii="宋体" w:hAnsi="宋体"/>
                <w:color w:val="auto"/>
                <w:sz w:val="21"/>
                <w:lang w:val="zh-CN"/>
              </w:rPr>
              <w:t>年为</w:t>
            </w:r>
            <w:r>
              <w:rPr>
                <w:rFonts w:hint="default" w:ascii="Times New Roman" w:hAnsi="Times New Roman" w:eastAsia="Times New Roman"/>
                <w:color w:val="auto"/>
                <w:sz w:val="21"/>
                <w:lang w:val="en-US"/>
              </w:rPr>
              <w:t>8.8%</w:t>
            </w:r>
            <w:r>
              <w:rPr>
                <w:rFonts w:hint="eastAsia" w:ascii="宋体" w:hAnsi="宋体"/>
                <w:color w:val="auto"/>
                <w:sz w:val="21"/>
                <w:lang w:val="zh-CN"/>
              </w:rPr>
              <w:t>，韩国</w:t>
            </w:r>
            <w:r>
              <w:rPr>
                <w:rFonts w:hint="default" w:ascii="Times New Roman" w:hAnsi="Times New Roman" w:eastAsia="Times New Roman"/>
                <w:color w:val="auto"/>
                <w:sz w:val="21"/>
                <w:lang w:val="en-US"/>
              </w:rPr>
              <w:t>2008</w:t>
            </w:r>
            <w:r>
              <w:rPr>
                <w:rFonts w:hint="eastAsia" w:ascii="宋体" w:hAnsi="宋体"/>
                <w:color w:val="auto"/>
                <w:sz w:val="21"/>
                <w:lang w:val="zh-CN"/>
              </w:rPr>
              <w:t>年为</w:t>
            </w:r>
            <w:r>
              <w:rPr>
                <w:rFonts w:hint="default" w:ascii="Times New Roman" w:hAnsi="Times New Roman" w:eastAsia="Times New Roman"/>
                <w:color w:val="auto"/>
                <w:sz w:val="21"/>
                <w:lang w:val="en-US"/>
              </w:rPr>
              <w:t>8.1%</w:t>
            </w:r>
            <w:r>
              <w:rPr>
                <w:rFonts w:hint="eastAsia" w:ascii="宋体" w:hAnsi="宋体"/>
                <w:color w:val="auto"/>
                <w:sz w:val="21"/>
                <w:lang w:val="zh-CN"/>
              </w:rPr>
              <w:t>。</w:t>
            </w:r>
          </w:p>
          <w:p>
            <w:pPr>
              <w:spacing w:beforeLines="0" w:afterLines="0"/>
              <w:rPr>
                <w:rFonts w:hint="eastAsia" w:ascii="宋体" w:hAnsi="宋体"/>
                <w:color w:val="auto"/>
                <w:sz w:val="22"/>
                <w:lang w:val="zh-CN"/>
              </w:rPr>
            </w:pPr>
            <w:r>
              <w:rPr>
                <w:rFonts w:hint="eastAsia" w:ascii="宋体" w:hAnsi="宋体"/>
                <w:color w:val="auto"/>
                <w:sz w:val="21"/>
                <w:lang w:val="zh-CN"/>
              </w:rPr>
              <w:t>计算方法：抽样调查</w:t>
            </w:r>
            <w:r>
              <w:rPr>
                <w:rFonts w:hint="default" w:ascii="Times New Roman" w:hAnsi="Times New Roman" w:eastAsia="Times New Roman"/>
                <w:color w:val="auto"/>
                <w:sz w:val="21"/>
                <w:lang w:val="en-US"/>
              </w:rPr>
              <w:t>65</w:t>
            </w:r>
            <w:r>
              <w:rPr>
                <w:rFonts w:hint="eastAsia" w:ascii="宋体" w:hAnsi="宋体"/>
                <w:color w:val="auto"/>
                <w:sz w:val="21"/>
                <w:lang w:val="zh-CN"/>
              </w:rPr>
              <w:t>岁及以上人群中，过去一年符合老年期痴呆诊断标准的人数</w:t>
            </w:r>
            <w:r>
              <w:rPr>
                <w:rFonts w:hint="default" w:ascii="Times New Roman" w:hAnsi="Times New Roman" w:eastAsia="Times New Roman"/>
                <w:color w:val="auto"/>
                <w:sz w:val="21"/>
                <w:lang w:val="en-US"/>
              </w:rPr>
              <w:t>/</w:t>
            </w:r>
            <w:r>
              <w:rPr>
                <w:rFonts w:hint="eastAsia" w:ascii="宋体" w:hAnsi="宋体"/>
                <w:color w:val="auto"/>
                <w:sz w:val="21"/>
                <w:lang w:val="zh-CN"/>
              </w:rPr>
              <w:t>调查人群总人数×</w:t>
            </w:r>
            <w:r>
              <w:rPr>
                <w:rFonts w:hint="default" w:ascii="Times New Roman" w:hAnsi="Times New Roman" w:eastAsia="Times New Roman"/>
                <w:color w:val="auto"/>
                <w:sz w:val="21"/>
                <w:lang w:val="en-US"/>
              </w:rPr>
              <w:t>100</w:t>
            </w:r>
            <w:r>
              <w:rPr>
                <w:rFonts w:hint="eastAsia" w:ascii="宋体" w:hAnsi="宋体"/>
                <w:color w:val="auto"/>
                <w:sz w:val="21"/>
                <w:lang w:val="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10212" w:type="dxa"/>
            <w:gridSpan w:val="8"/>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color w:val="auto"/>
                <w:sz w:val="24"/>
                <w:lang w:val="zh-CN"/>
              </w:rPr>
              <w:t>个人和社会倡导性指标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79</w:t>
            </w:r>
          </w:p>
        </w:tc>
        <w:tc>
          <w:tcPr>
            <w:tcW w:w="3458"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b/>
                <w:color w:val="auto"/>
                <w:sz w:val="24"/>
                <w:lang w:val="zh-CN"/>
              </w:rPr>
              <w:t>老年健康核心信息知晓率（</w:t>
            </w:r>
            <w:r>
              <w:rPr>
                <w:rFonts w:hint="default" w:ascii="Times New Roman" w:hAnsi="Times New Roman" w:eastAsia="Times New Roman"/>
                <w:b/>
                <w:color w:val="auto"/>
                <w:sz w:val="24"/>
                <w:lang w:val="en-US"/>
              </w:rPr>
              <w:t>%</w:t>
            </w:r>
            <w:r>
              <w:rPr>
                <w:rFonts w:hint="eastAsia" w:ascii="宋体" w:hAnsi="宋体"/>
                <w:b/>
                <w:color w:val="auto"/>
                <w:sz w:val="24"/>
                <w:lang w:val="zh-CN"/>
              </w:rPr>
              <w:t>）</w:t>
            </w:r>
          </w:p>
        </w:tc>
        <w:tc>
          <w:tcPr>
            <w:tcW w:w="2262"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宋体" w:hAnsi="宋体"/>
                <w:color w:val="auto"/>
                <w:sz w:val="24"/>
                <w:lang w:val="zh-CN"/>
              </w:rPr>
              <w:t>—</w:t>
            </w:r>
          </w:p>
        </w:tc>
        <w:tc>
          <w:tcPr>
            <w:tcW w:w="2749" w:type="dxa"/>
            <w:gridSpan w:val="3"/>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不断提高</w:t>
            </w:r>
          </w:p>
        </w:tc>
        <w:tc>
          <w:tcPr>
            <w:tcW w:w="105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倡导性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5"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9519" w:type="dxa"/>
            <w:gridSpan w:val="7"/>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color w:val="auto"/>
                <w:sz w:val="21"/>
                <w:lang w:val="zh-CN"/>
              </w:rPr>
              <w:t>说明：引导老年人掌握正确的健康知识和理念，掌握自我保健和促进健康的基本技能，增强老年群体的健康生活意识，可以强化老年人自身的健康管理意识。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80</w:t>
            </w:r>
          </w:p>
        </w:tc>
        <w:tc>
          <w:tcPr>
            <w:tcW w:w="8469" w:type="dxa"/>
            <w:gridSpan w:val="6"/>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b/>
                <w:color w:val="auto"/>
                <w:sz w:val="24"/>
                <w:lang w:val="zh-CN"/>
              </w:rPr>
              <w:t>提倡老年人参加定期体检，经常监测呼吸、脉搏、血压、大小便情况，接受家庭医生团队的健康指导</w:t>
            </w:r>
          </w:p>
        </w:tc>
        <w:tc>
          <w:tcPr>
            <w:tcW w:w="105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倡导性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81</w:t>
            </w:r>
          </w:p>
        </w:tc>
        <w:tc>
          <w:tcPr>
            <w:tcW w:w="8469" w:type="dxa"/>
            <w:gridSpan w:val="6"/>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b/>
                <w:color w:val="auto"/>
                <w:sz w:val="24"/>
                <w:lang w:val="zh-CN"/>
              </w:rPr>
              <w:t>鼓励和支持老年大学、老年活动中心、基层老年协会、有资质的社会组织等为老年人组织开展健康活动</w:t>
            </w:r>
          </w:p>
        </w:tc>
        <w:tc>
          <w:tcPr>
            <w:tcW w:w="105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倡导性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82</w:t>
            </w:r>
          </w:p>
        </w:tc>
        <w:tc>
          <w:tcPr>
            <w:tcW w:w="8469" w:type="dxa"/>
            <w:gridSpan w:val="6"/>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b/>
                <w:color w:val="auto"/>
                <w:sz w:val="24"/>
                <w:lang w:val="zh-CN"/>
              </w:rPr>
              <w:t>鼓励和支持社会力量参与、兴办居家养老服务机构</w:t>
            </w:r>
          </w:p>
        </w:tc>
        <w:tc>
          <w:tcPr>
            <w:tcW w:w="105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倡导性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10212" w:type="dxa"/>
            <w:gridSpan w:val="8"/>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color w:val="auto"/>
                <w:sz w:val="24"/>
                <w:lang w:val="zh-CN"/>
              </w:rPr>
              <w:t>政府工作指标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83</w:t>
            </w:r>
          </w:p>
        </w:tc>
        <w:tc>
          <w:tcPr>
            <w:tcW w:w="3458"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b/>
                <w:color w:val="auto"/>
                <w:sz w:val="24"/>
                <w:lang w:val="zh-CN"/>
              </w:rPr>
              <w:t>二级以上综合性医院设老年医学科比例（</w:t>
            </w:r>
            <w:r>
              <w:rPr>
                <w:rFonts w:hint="default" w:ascii="Times New Roman" w:hAnsi="Times New Roman" w:eastAsia="Times New Roman"/>
                <w:b/>
                <w:color w:val="auto"/>
                <w:sz w:val="24"/>
                <w:lang w:val="en-US"/>
              </w:rPr>
              <w:t>%</w:t>
            </w:r>
            <w:r>
              <w:rPr>
                <w:rFonts w:hint="eastAsia" w:ascii="宋体" w:hAnsi="宋体"/>
                <w:b/>
                <w:color w:val="auto"/>
                <w:sz w:val="24"/>
                <w:lang w:val="zh-CN"/>
              </w:rPr>
              <w:t>）</w:t>
            </w:r>
          </w:p>
        </w:tc>
        <w:tc>
          <w:tcPr>
            <w:tcW w:w="2262"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宋体" w:hAnsi="宋体"/>
                <w:color w:val="auto"/>
                <w:sz w:val="24"/>
                <w:lang w:val="zh-CN"/>
              </w:rPr>
              <w:t>—</w:t>
            </w:r>
          </w:p>
        </w:tc>
        <w:tc>
          <w:tcPr>
            <w:tcW w:w="851"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w:t>
            </w:r>
            <w:r>
              <w:rPr>
                <w:rFonts w:hint="default" w:ascii="Times New Roman" w:hAnsi="Times New Roman" w:eastAsia="Times New Roman"/>
                <w:color w:val="auto"/>
                <w:sz w:val="24"/>
                <w:lang w:val="en-US"/>
              </w:rPr>
              <w:t>50</w:t>
            </w:r>
          </w:p>
        </w:tc>
        <w:tc>
          <w:tcPr>
            <w:tcW w:w="1898"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w:t>
            </w:r>
            <w:r>
              <w:rPr>
                <w:rFonts w:hint="default" w:ascii="Times New Roman" w:hAnsi="Times New Roman" w:eastAsia="Times New Roman"/>
                <w:color w:val="auto"/>
                <w:sz w:val="24"/>
                <w:lang w:val="en-US"/>
              </w:rPr>
              <w:t>90</w:t>
            </w:r>
          </w:p>
        </w:tc>
        <w:tc>
          <w:tcPr>
            <w:tcW w:w="105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15"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9519" w:type="dxa"/>
            <w:gridSpan w:val="7"/>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default" w:ascii="Times New Roman" w:hAnsi="Times New Roman" w:eastAsia="Times New Roman"/>
                <w:color w:val="auto"/>
                <w:sz w:val="21"/>
                <w:lang w:val="en-US"/>
              </w:rPr>
            </w:pPr>
            <w:r>
              <w:rPr>
                <w:rFonts w:hint="eastAsia" w:ascii="宋体" w:hAnsi="宋体"/>
                <w:color w:val="auto"/>
                <w:sz w:val="21"/>
                <w:lang w:val="zh-CN"/>
              </w:rPr>
              <w:t>说明：设置老年医学科的二级以上综合性医院比例。</w:t>
            </w:r>
          </w:p>
          <w:p>
            <w:pPr>
              <w:spacing w:beforeLines="0" w:afterLines="0"/>
              <w:rPr>
                <w:rFonts w:hint="eastAsia" w:ascii="宋体" w:hAnsi="宋体"/>
                <w:color w:val="auto"/>
                <w:sz w:val="22"/>
                <w:lang w:val="zh-CN"/>
              </w:rPr>
            </w:pPr>
            <w:r>
              <w:rPr>
                <w:rFonts w:hint="eastAsia" w:ascii="宋体" w:hAnsi="宋体"/>
                <w:color w:val="auto"/>
                <w:sz w:val="21"/>
                <w:lang w:val="zh-CN"/>
              </w:rPr>
              <w:t>计算方法：设置老年医学科的二级以上综合性医院数</w:t>
            </w:r>
            <w:r>
              <w:rPr>
                <w:rFonts w:hint="default" w:ascii="Times New Roman" w:hAnsi="Times New Roman" w:eastAsia="Times New Roman"/>
                <w:color w:val="auto"/>
                <w:sz w:val="21"/>
                <w:lang w:val="en-US"/>
              </w:rPr>
              <w:t>/</w:t>
            </w:r>
            <w:r>
              <w:rPr>
                <w:rFonts w:hint="eastAsia" w:ascii="宋体" w:hAnsi="宋体"/>
                <w:color w:val="auto"/>
                <w:sz w:val="21"/>
                <w:lang w:val="zh-CN"/>
              </w:rPr>
              <w:t>二级以上综合性医院数×</w:t>
            </w:r>
            <w:r>
              <w:rPr>
                <w:rFonts w:hint="default" w:ascii="Times New Roman" w:hAnsi="Times New Roman" w:eastAsia="Times New Roman"/>
                <w:color w:val="auto"/>
                <w:sz w:val="21"/>
                <w:lang w:val="en-US"/>
              </w:rPr>
              <w:t>100%</w:t>
            </w:r>
            <w:r>
              <w:rPr>
                <w:rFonts w:hint="eastAsia" w:ascii="宋体" w:hAnsi="宋体"/>
                <w:color w:val="auto"/>
                <w:sz w:val="21"/>
                <w:lang w:val="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84</w:t>
            </w:r>
          </w:p>
        </w:tc>
        <w:tc>
          <w:tcPr>
            <w:tcW w:w="3458"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b/>
                <w:color w:val="auto"/>
                <w:spacing w:val="-8"/>
                <w:sz w:val="24"/>
                <w:lang w:val="zh-CN"/>
              </w:rPr>
              <w:t>养老机构以不同形式为入住老年人提供医疗卫生服务比例（</w:t>
            </w:r>
            <w:r>
              <w:rPr>
                <w:rFonts w:hint="default" w:ascii="Times New Roman" w:hAnsi="Times New Roman" w:eastAsia="Times New Roman"/>
                <w:b/>
                <w:color w:val="auto"/>
                <w:spacing w:val="-8"/>
                <w:sz w:val="24"/>
                <w:lang w:val="en-US"/>
              </w:rPr>
              <w:t>%</w:t>
            </w:r>
            <w:r>
              <w:rPr>
                <w:rFonts w:hint="eastAsia" w:ascii="宋体" w:hAnsi="宋体"/>
                <w:b/>
                <w:color w:val="auto"/>
                <w:spacing w:val="-8"/>
                <w:sz w:val="24"/>
                <w:lang w:val="zh-CN"/>
              </w:rPr>
              <w:t>）</w:t>
            </w:r>
          </w:p>
        </w:tc>
        <w:tc>
          <w:tcPr>
            <w:tcW w:w="2262"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93</w:t>
            </w:r>
          </w:p>
        </w:tc>
        <w:tc>
          <w:tcPr>
            <w:tcW w:w="851"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100</w:t>
            </w:r>
          </w:p>
        </w:tc>
        <w:tc>
          <w:tcPr>
            <w:tcW w:w="1898"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持续</w:t>
            </w:r>
          </w:p>
          <w:p>
            <w:pPr>
              <w:spacing w:beforeLines="0" w:afterLines="0"/>
              <w:jc w:val="center"/>
              <w:rPr>
                <w:rFonts w:hint="eastAsia" w:ascii="宋体" w:hAnsi="宋体"/>
                <w:color w:val="auto"/>
                <w:sz w:val="22"/>
                <w:lang w:val="zh-CN"/>
              </w:rPr>
            </w:pPr>
            <w:r>
              <w:rPr>
                <w:rFonts w:hint="eastAsia" w:ascii="宋体" w:hAnsi="宋体"/>
                <w:color w:val="auto"/>
                <w:sz w:val="24"/>
                <w:lang w:val="zh-CN"/>
              </w:rPr>
              <w:t>改善</w:t>
            </w:r>
          </w:p>
        </w:tc>
        <w:tc>
          <w:tcPr>
            <w:tcW w:w="105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72"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9519" w:type="dxa"/>
            <w:gridSpan w:val="7"/>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default" w:ascii="Times New Roman" w:hAnsi="Times New Roman" w:eastAsia="Times New Roman"/>
                <w:color w:val="auto"/>
                <w:sz w:val="21"/>
                <w:lang w:val="en-US"/>
              </w:rPr>
            </w:pPr>
            <w:r>
              <w:rPr>
                <w:rFonts w:hint="eastAsia" w:ascii="宋体" w:hAnsi="宋体"/>
                <w:color w:val="auto"/>
                <w:sz w:val="21"/>
                <w:lang w:val="zh-CN"/>
              </w:rPr>
              <w:t>说明：以不同形式为入住老年人提供医疗卫生服务的养老机构比例。</w:t>
            </w:r>
          </w:p>
          <w:p>
            <w:pPr>
              <w:spacing w:beforeLines="0" w:afterLines="0"/>
              <w:rPr>
                <w:rFonts w:hint="eastAsia" w:ascii="宋体" w:hAnsi="宋体"/>
                <w:color w:val="auto"/>
                <w:sz w:val="22"/>
                <w:lang w:val="zh-CN"/>
              </w:rPr>
            </w:pPr>
            <w:r>
              <w:rPr>
                <w:rFonts w:hint="eastAsia" w:ascii="宋体" w:hAnsi="宋体"/>
                <w:color w:val="auto"/>
                <w:spacing w:val="-4"/>
                <w:sz w:val="21"/>
                <w:lang w:val="zh-CN"/>
              </w:rPr>
              <w:t>计算方法：以不同形式为入住老年人提供医疗卫生服务的养老机构数</w:t>
            </w:r>
            <w:r>
              <w:rPr>
                <w:rFonts w:hint="default" w:ascii="Times New Roman" w:hAnsi="Times New Roman" w:eastAsia="Times New Roman"/>
                <w:color w:val="auto"/>
                <w:spacing w:val="-4"/>
                <w:sz w:val="21"/>
                <w:lang w:val="en-US"/>
              </w:rPr>
              <w:t>/</w:t>
            </w:r>
            <w:r>
              <w:rPr>
                <w:rFonts w:hint="eastAsia" w:ascii="宋体" w:hAnsi="宋体"/>
                <w:color w:val="auto"/>
                <w:spacing w:val="-4"/>
                <w:sz w:val="21"/>
                <w:lang w:val="zh-CN"/>
              </w:rPr>
              <w:t>养老机构数</w:t>
            </w:r>
            <w:r>
              <w:rPr>
                <w:rFonts w:hint="eastAsia" w:ascii="宋体" w:hAnsi="宋体"/>
                <w:color w:val="auto"/>
                <w:sz w:val="21"/>
                <w:lang w:val="zh-CN"/>
              </w:rPr>
              <w:t>×</w:t>
            </w:r>
            <w:r>
              <w:rPr>
                <w:rFonts w:hint="default" w:ascii="Times New Roman" w:hAnsi="Times New Roman" w:eastAsia="Times New Roman"/>
                <w:color w:val="auto"/>
                <w:sz w:val="21"/>
                <w:lang w:val="en-US"/>
              </w:rPr>
              <w:t>100%</w:t>
            </w:r>
            <w:r>
              <w:rPr>
                <w:rFonts w:hint="eastAsia" w:ascii="宋体" w:hAnsi="宋体"/>
                <w:color w:val="auto"/>
                <w:spacing w:val="-4"/>
                <w:sz w:val="21"/>
                <w:lang w:val="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85</w:t>
            </w:r>
          </w:p>
        </w:tc>
        <w:tc>
          <w:tcPr>
            <w:tcW w:w="3458"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b/>
                <w:color w:val="auto"/>
                <w:sz w:val="24"/>
                <w:lang w:val="zh-CN"/>
              </w:rPr>
              <w:t>三级中医医院设置康复科比例（</w:t>
            </w:r>
            <w:r>
              <w:rPr>
                <w:rFonts w:hint="default" w:ascii="Times New Roman" w:hAnsi="Times New Roman" w:eastAsia="Times New Roman"/>
                <w:b/>
                <w:color w:val="auto"/>
                <w:sz w:val="24"/>
                <w:lang w:val="en-US"/>
              </w:rPr>
              <w:t>%</w:t>
            </w:r>
            <w:r>
              <w:rPr>
                <w:rFonts w:hint="eastAsia" w:ascii="宋体" w:hAnsi="宋体"/>
                <w:b/>
                <w:color w:val="auto"/>
                <w:sz w:val="24"/>
                <w:lang w:val="zh-CN"/>
              </w:rPr>
              <w:t>）</w:t>
            </w:r>
          </w:p>
        </w:tc>
        <w:tc>
          <w:tcPr>
            <w:tcW w:w="2262"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宋体" w:hAnsi="宋体"/>
                <w:color w:val="auto"/>
                <w:sz w:val="24"/>
                <w:lang w:val="zh-CN"/>
              </w:rPr>
              <w:t>—</w:t>
            </w:r>
          </w:p>
        </w:tc>
        <w:tc>
          <w:tcPr>
            <w:tcW w:w="851"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75</w:t>
            </w:r>
          </w:p>
        </w:tc>
        <w:tc>
          <w:tcPr>
            <w:tcW w:w="1898"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90</w:t>
            </w:r>
          </w:p>
        </w:tc>
        <w:tc>
          <w:tcPr>
            <w:tcW w:w="105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1" w:hRule="atLeast"/>
          <w:jc w:val="center"/>
        </w:trPr>
        <w:tc>
          <w:tcPr>
            <w:tcW w:w="695"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default" w:ascii="Times New Roman" w:hAnsi="Times New Roman" w:eastAsia="Times New Roman"/>
                <w:color w:val="auto"/>
                <w:spacing w:val="-8"/>
                <w:sz w:val="24"/>
                <w:lang w:val="en-US"/>
              </w:rPr>
            </w:pPr>
            <w:r>
              <w:rPr>
                <w:rFonts w:hint="eastAsia" w:ascii="宋体" w:hAnsi="宋体"/>
                <w:color w:val="auto"/>
                <w:spacing w:val="-8"/>
                <w:sz w:val="24"/>
                <w:lang w:val="zh-CN"/>
              </w:rPr>
              <w:t>（十一）</w:t>
            </w:r>
          </w:p>
          <w:p>
            <w:pPr>
              <w:spacing w:beforeLines="0" w:afterLines="0"/>
              <w:jc w:val="center"/>
              <w:rPr>
                <w:rFonts w:hint="default" w:ascii="Times New Roman" w:hAnsi="Times New Roman" w:eastAsia="Times New Roman"/>
                <w:color w:val="auto"/>
                <w:spacing w:val="-8"/>
                <w:sz w:val="24"/>
                <w:lang w:val="en-US"/>
              </w:rPr>
            </w:pPr>
            <w:r>
              <w:rPr>
                <w:rFonts w:hint="eastAsia" w:ascii="宋体" w:hAnsi="宋体"/>
                <w:color w:val="auto"/>
                <w:spacing w:val="-8"/>
                <w:sz w:val="24"/>
                <w:lang w:val="zh-CN"/>
              </w:rPr>
              <w:t>～</w:t>
            </w:r>
          </w:p>
          <w:p>
            <w:pPr>
              <w:spacing w:beforeLines="0" w:afterLines="0"/>
              <w:jc w:val="center"/>
              <w:rPr>
                <w:rFonts w:hint="default" w:ascii="Times New Roman" w:hAnsi="Times New Roman" w:eastAsia="Times New Roman"/>
                <w:color w:val="auto"/>
                <w:spacing w:val="-8"/>
                <w:sz w:val="24"/>
                <w:lang w:val="en-US"/>
              </w:rPr>
            </w:pPr>
            <w:r>
              <w:rPr>
                <w:rFonts w:hint="eastAsia" w:ascii="宋体" w:hAnsi="宋体"/>
                <w:color w:val="auto"/>
                <w:spacing w:val="-8"/>
                <w:sz w:val="24"/>
                <w:lang w:val="zh-CN"/>
              </w:rPr>
              <w:t>（十四）</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心</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脑</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血</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管</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疾</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病</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癌</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症</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慢</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性</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呼</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吸</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系</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统</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疾</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病</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糖</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尿</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病</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防</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治</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行</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动</w:t>
            </w:r>
          </w:p>
          <w:p>
            <w:pPr>
              <w:spacing w:beforeLines="0" w:afterLines="0"/>
              <w:rPr>
                <w:rFonts w:hint="default" w:ascii="Times New Roman" w:hAnsi="Times New Roman" w:eastAsia="Times New Roman"/>
                <w:color w:val="auto"/>
                <w:sz w:val="24"/>
                <w:lang w:val="en-US"/>
              </w:rPr>
            </w:pPr>
          </w:p>
          <w:p>
            <w:pPr>
              <w:spacing w:beforeLines="0" w:afterLines="0"/>
              <w:rPr>
                <w:rFonts w:hint="default" w:ascii="Times New Roman" w:hAnsi="Times New Roman" w:eastAsia="Times New Roman"/>
                <w:color w:val="auto"/>
                <w:sz w:val="32"/>
                <w:lang w:val="en-US"/>
              </w:rPr>
            </w:pPr>
          </w:p>
          <w:p>
            <w:pPr>
              <w:spacing w:beforeLines="0" w:afterLines="0"/>
              <w:jc w:val="center"/>
              <w:rPr>
                <w:rFonts w:hint="default" w:ascii="Times New Roman" w:hAnsi="Times New Roman" w:eastAsia="Times New Roman"/>
                <w:color w:val="auto"/>
                <w:spacing w:val="-8"/>
                <w:sz w:val="24"/>
                <w:lang w:val="en-US"/>
              </w:rPr>
            </w:pPr>
          </w:p>
          <w:p>
            <w:pPr>
              <w:spacing w:beforeLines="0" w:afterLines="0"/>
              <w:jc w:val="center"/>
              <w:rPr>
                <w:rFonts w:hint="default" w:ascii="Times New Roman" w:hAnsi="Times New Roman" w:eastAsia="Times New Roman"/>
                <w:color w:val="auto"/>
                <w:spacing w:val="-8"/>
                <w:sz w:val="24"/>
                <w:lang w:val="en-US"/>
              </w:rPr>
            </w:pPr>
          </w:p>
          <w:p>
            <w:pPr>
              <w:spacing w:beforeLines="0" w:afterLines="0"/>
              <w:jc w:val="center"/>
              <w:rPr>
                <w:rFonts w:hint="default" w:ascii="Times New Roman" w:hAnsi="Times New Roman" w:eastAsia="Times New Roman"/>
                <w:color w:val="auto"/>
                <w:spacing w:val="-8"/>
                <w:sz w:val="24"/>
                <w:lang w:val="en-US"/>
              </w:rPr>
            </w:pPr>
          </w:p>
          <w:p>
            <w:pPr>
              <w:spacing w:beforeLines="0" w:afterLines="0"/>
              <w:jc w:val="center"/>
              <w:rPr>
                <w:rFonts w:hint="default" w:ascii="Times New Roman" w:hAnsi="Times New Roman" w:eastAsia="Times New Roman"/>
                <w:color w:val="auto"/>
                <w:spacing w:val="-8"/>
                <w:sz w:val="24"/>
                <w:lang w:val="en-US"/>
              </w:rPr>
            </w:pPr>
          </w:p>
          <w:p>
            <w:pPr>
              <w:spacing w:beforeLines="0" w:afterLines="0"/>
              <w:jc w:val="center"/>
              <w:rPr>
                <w:rFonts w:hint="default" w:ascii="Times New Roman" w:hAnsi="Times New Roman" w:eastAsia="Times New Roman"/>
                <w:color w:val="auto"/>
                <w:spacing w:val="-8"/>
                <w:sz w:val="24"/>
                <w:lang w:val="en-US"/>
              </w:rPr>
            </w:pPr>
            <w:r>
              <w:rPr>
                <w:rFonts w:hint="eastAsia" w:ascii="宋体" w:hAnsi="宋体"/>
                <w:color w:val="auto"/>
                <w:spacing w:val="-8"/>
                <w:sz w:val="24"/>
                <w:lang w:val="zh-CN"/>
              </w:rPr>
              <w:t>（十一）</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pacing w:val="-8"/>
                <w:sz w:val="24"/>
                <w:lang w:val="zh-CN"/>
              </w:rPr>
              <w:t>～</w:t>
            </w:r>
          </w:p>
          <w:p>
            <w:pPr>
              <w:spacing w:beforeLines="0" w:afterLines="0"/>
              <w:jc w:val="center"/>
              <w:rPr>
                <w:rFonts w:hint="default" w:ascii="Times New Roman" w:hAnsi="Times New Roman" w:eastAsia="Times New Roman"/>
                <w:color w:val="auto"/>
                <w:spacing w:val="-8"/>
                <w:sz w:val="24"/>
                <w:lang w:val="en-US"/>
              </w:rPr>
            </w:pPr>
            <w:r>
              <w:rPr>
                <w:rFonts w:hint="eastAsia" w:ascii="宋体" w:hAnsi="宋体"/>
                <w:color w:val="auto"/>
                <w:spacing w:val="-8"/>
                <w:sz w:val="24"/>
                <w:lang w:val="zh-CN"/>
              </w:rPr>
              <w:t>（十四）</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心</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脑</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血</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管</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疾</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病</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癌</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症</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慢</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性</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呼</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吸</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系</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统</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疾</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病</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糖</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尿</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病</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防</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治</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行</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动</w:t>
            </w:r>
          </w:p>
          <w:p>
            <w:pPr>
              <w:spacing w:beforeLines="0" w:afterLines="0"/>
              <w:jc w:val="center"/>
              <w:rPr>
                <w:rFonts w:hint="default" w:ascii="Times New Roman" w:hAnsi="Times New Roman" w:eastAsia="Times New Roman"/>
                <w:color w:val="auto"/>
                <w:sz w:val="24"/>
                <w:lang w:val="en-US"/>
              </w:rPr>
            </w:pPr>
          </w:p>
          <w:p>
            <w:pPr>
              <w:spacing w:beforeLines="0" w:afterLines="0"/>
              <w:jc w:val="center"/>
              <w:rPr>
                <w:rFonts w:hint="default" w:ascii="Times New Roman" w:hAnsi="Times New Roman" w:eastAsia="Times New Roman"/>
                <w:color w:val="auto"/>
                <w:sz w:val="24"/>
                <w:lang w:val="en-US"/>
              </w:rPr>
            </w:pPr>
          </w:p>
          <w:p>
            <w:pPr>
              <w:spacing w:beforeLines="0" w:afterLines="0"/>
              <w:jc w:val="center"/>
              <w:rPr>
                <w:rFonts w:hint="default" w:ascii="Times New Roman" w:hAnsi="Times New Roman" w:eastAsia="Times New Roman"/>
                <w:color w:val="auto"/>
                <w:sz w:val="24"/>
                <w:lang w:val="en-US"/>
              </w:rPr>
            </w:pPr>
          </w:p>
          <w:p>
            <w:pPr>
              <w:spacing w:beforeLines="0" w:afterLines="0"/>
              <w:jc w:val="center"/>
              <w:rPr>
                <w:rFonts w:hint="default" w:ascii="Times New Roman" w:hAnsi="Times New Roman" w:eastAsia="Times New Roman"/>
                <w:color w:val="auto"/>
                <w:sz w:val="24"/>
                <w:lang w:val="en-US"/>
              </w:rPr>
            </w:pPr>
          </w:p>
          <w:p>
            <w:pPr>
              <w:spacing w:beforeLines="0" w:afterLines="0"/>
              <w:jc w:val="center"/>
              <w:rPr>
                <w:rFonts w:hint="default" w:ascii="Times New Roman" w:hAnsi="Times New Roman" w:eastAsia="Times New Roman"/>
                <w:color w:val="auto"/>
                <w:sz w:val="24"/>
                <w:lang w:val="en-US"/>
              </w:rPr>
            </w:pPr>
          </w:p>
          <w:p>
            <w:pPr>
              <w:spacing w:beforeLines="0" w:afterLines="0"/>
              <w:jc w:val="center"/>
              <w:rPr>
                <w:rFonts w:hint="default" w:ascii="Times New Roman" w:hAnsi="Times New Roman" w:eastAsia="Times New Roman"/>
                <w:color w:val="auto"/>
                <w:sz w:val="24"/>
                <w:lang w:val="en-US"/>
              </w:rPr>
            </w:pPr>
          </w:p>
          <w:p>
            <w:pPr>
              <w:spacing w:beforeLines="0" w:afterLines="0"/>
              <w:jc w:val="center"/>
              <w:rPr>
                <w:rFonts w:hint="default" w:ascii="Times New Roman" w:hAnsi="Times New Roman" w:eastAsia="Times New Roman"/>
                <w:color w:val="auto"/>
                <w:sz w:val="24"/>
                <w:lang w:val="en-US"/>
              </w:rPr>
            </w:pPr>
          </w:p>
          <w:p>
            <w:pPr>
              <w:spacing w:beforeLines="0" w:afterLines="0"/>
              <w:rPr>
                <w:rFonts w:hint="default" w:ascii="Times New Roman" w:hAnsi="Times New Roman" w:eastAsia="Times New Roman"/>
                <w:color w:val="auto"/>
                <w:sz w:val="24"/>
                <w:lang w:val="en-US"/>
              </w:rPr>
            </w:pPr>
          </w:p>
          <w:p>
            <w:pPr>
              <w:spacing w:beforeLines="0" w:afterLines="0"/>
              <w:jc w:val="center"/>
              <w:rPr>
                <w:rFonts w:hint="default" w:ascii="Times New Roman" w:hAnsi="Times New Roman" w:eastAsia="Times New Roman"/>
                <w:color w:val="auto"/>
                <w:spacing w:val="-8"/>
                <w:sz w:val="24"/>
                <w:lang w:val="en-US"/>
              </w:rPr>
            </w:pPr>
            <w:r>
              <w:rPr>
                <w:rFonts w:hint="eastAsia" w:ascii="宋体" w:hAnsi="宋体"/>
                <w:color w:val="auto"/>
                <w:spacing w:val="-8"/>
                <w:sz w:val="24"/>
                <w:lang w:val="zh-CN"/>
              </w:rPr>
              <w:t>（十一）</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pacing w:val="-8"/>
                <w:sz w:val="24"/>
                <w:lang w:val="zh-CN"/>
              </w:rPr>
              <w:t>～</w:t>
            </w:r>
          </w:p>
          <w:p>
            <w:pPr>
              <w:spacing w:beforeLines="0" w:afterLines="0"/>
              <w:jc w:val="center"/>
              <w:rPr>
                <w:rFonts w:hint="default" w:ascii="Times New Roman" w:hAnsi="Times New Roman" w:eastAsia="Times New Roman"/>
                <w:color w:val="auto"/>
                <w:spacing w:val="-8"/>
                <w:sz w:val="22"/>
                <w:lang w:val="en-US"/>
              </w:rPr>
            </w:pPr>
            <w:r>
              <w:rPr>
                <w:rFonts w:hint="eastAsia" w:ascii="宋体" w:hAnsi="宋体"/>
                <w:color w:val="auto"/>
                <w:spacing w:val="-8"/>
                <w:sz w:val="24"/>
                <w:lang w:val="zh-CN"/>
              </w:rPr>
              <w:t>（十</w:t>
            </w:r>
            <w:r>
              <w:rPr>
                <w:rFonts w:hint="eastAsia" w:ascii="宋体" w:hAnsi="宋体"/>
                <w:color w:val="auto"/>
                <w:spacing w:val="-8"/>
                <w:sz w:val="22"/>
                <w:lang w:val="zh-CN"/>
              </w:rPr>
              <w:t>四）</w:t>
            </w:r>
          </w:p>
          <w:p>
            <w:pPr>
              <w:spacing w:beforeLines="0" w:afterLines="0"/>
              <w:jc w:val="center"/>
              <w:rPr>
                <w:rFonts w:hint="default" w:ascii="Times New Roman" w:hAnsi="Times New Roman" w:eastAsia="Times New Roman"/>
                <w:color w:val="auto"/>
                <w:sz w:val="22"/>
                <w:lang w:val="en-US"/>
              </w:rPr>
            </w:pPr>
            <w:r>
              <w:rPr>
                <w:rFonts w:hint="eastAsia" w:ascii="宋体" w:hAnsi="宋体"/>
                <w:color w:val="auto"/>
                <w:sz w:val="22"/>
                <w:lang w:val="zh-CN"/>
              </w:rPr>
              <w:t>心</w:t>
            </w:r>
          </w:p>
          <w:p>
            <w:pPr>
              <w:spacing w:beforeLines="0" w:afterLines="0"/>
              <w:jc w:val="center"/>
              <w:rPr>
                <w:rFonts w:hint="default" w:ascii="Times New Roman" w:hAnsi="Times New Roman" w:eastAsia="Times New Roman"/>
                <w:color w:val="auto"/>
                <w:sz w:val="22"/>
                <w:lang w:val="en-US"/>
              </w:rPr>
            </w:pPr>
            <w:r>
              <w:rPr>
                <w:rFonts w:hint="eastAsia" w:ascii="宋体" w:hAnsi="宋体"/>
                <w:color w:val="auto"/>
                <w:sz w:val="22"/>
                <w:lang w:val="zh-CN"/>
              </w:rPr>
              <w:t>脑</w:t>
            </w:r>
          </w:p>
          <w:p>
            <w:pPr>
              <w:spacing w:beforeLines="0" w:afterLines="0"/>
              <w:jc w:val="center"/>
              <w:rPr>
                <w:rFonts w:hint="default" w:ascii="Times New Roman" w:hAnsi="Times New Roman" w:eastAsia="Times New Roman"/>
                <w:color w:val="auto"/>
                <w:sz w:val="22"/>
                <w:lang w:val="en-US"/>
              </w:rPr>
            </w:pPr>
            <w:r>
              <w:rPr>
                <w:rFonts w:hint="eastAsia" w:ascii="宋体" w:hAnsi="宋体"/>
                <w:color w:val="auto"/>
                <w:sz w:val="22"/>
                <w:lang w:val="zh-CN"/>
              </w:rPr>
              <w:t>血</w:t>
            </w:r>
          </w:p>
          <w:p>
            <w:pPr>
              <w:spacing w:beforeLines="0" w:afterLines="0"/>
              <w:jc w:val="center"/>
              <w:rPr>
                <w:rFonts w:hint="default" w:ascii="Times New Roman" w:hAnsi="Times New Roman" w:eastAsia="Times New Roman"/>
                <w:color w:val="auto"/>
                <w:sz w:val="22"/>
                <w:lang w:val="en-US"/>
              </w:rPr>
            </w:pPr>
            <w:r>
              <w:rPr>
                <w:rFonts w:hint="eastAsia" w:ascii="宋体" w:hAnsi="宋体"/>
                <w:color w:val="auto"/>
                <w:sz w:val="22"/>
                <w:lang w:val="zh-CN"/>
              </w:rPr>
              <w:t>管</w:t>
            </w:r>
          </w:p>
          <w:p>
            <w:pPr>
              <w:spacing w:beforeLines="0" w:afterLines="0"/>
              <w:jc w:val="center"/>
              <w:rPr>
                <w:rFonts w:hint="default" w:ascii="Times New Roman" w:hAnsi="Times New Roman" w:eastAsia="Times New Roman"/>
                <w:color w:val="auto"/>
                <w:sz w:val="22"/>
                <w:lang w:val="en-US"/>
              </w:rPr>
            </w:pPr>
            <w:r>
              <w:rPr>
                <w:rFonts w:hint="eastAsia" w:ascii="宋体" w:hAnsi="宋体"/>
                <w:color w:val="auto"/>
                <w:sz w:val="22"/>
                <w:lang w:val="zh-CN"/>
              </w:rPr>
              <w:t>疾</w:t>
            </w:r>
          </w:p>
          <w:p>
            <w:pPr>
              <w:spacing w:beforeLines="0" w:afterLines="0"/>
              <w:jc w:val="center"/>
              <w:rPr>
                <w:rFonts w:hint="default" w:ascii="Times New Roman" w:hAnsi="Times New Roman" w:eastAsia="Times New Roman"/>
                <w:color w:val="auto"/>
                <w:sz w:val="22"/>
                <w:lang w:val="en-US"/>
              </w:rPr>
            </w:pPr>
            <w:r>
              <w:rPr>
                <w:rFonts w:hint="eastAsia" w:ascii="宋体" w:hAnsi="宋体"/>
                <w:color w:val="auto"/>
                <w:sz w:val="22"/>
                <w:lang w:val="zh-CN"/>
              </w:rPr>
              <w:t>病</w:t>
            </w:r>
          </w:p>
          <w:p>
            <w:pPr>
              <w:spacing w:beforeLines="0" w:afterLines="0"/>
              <w:jc w:val="center"/>
              <w:rPr>
                <w:rFonts w:hint="default" w:ascii="Times New Roman" w:hAnsi="Times New Roman" w:eastAsia="Times New Roman"/>
                <w:color w:val="auto"/>
                <w:sz w:val="22"/>
                <w:lang w:val="en-US"/>
              </w:rPr>
            </w:pPr>
            <w:r>
              <w:rPr>
                <w:rFonts w:hint="eastAsia" w:ascii="宋体" w:hAnsi="宋体"/>
                <w:color w:val="auto"/>
                <w:sz w:val="22"/>
                <w:lang w:val="zh-CN"/>
              </w:rPr>
              <w:t>、</w:t>
            </w:r>
          </w:p>
          <w:p>
            <w:pPr>
              <w:spacing w:beforeLines="0" w:afterLines="0"/>
              <w:jc w:val="center"/>
              <w:rPr>
                <w:rFonts w:hint="default" w:ascii="Times New Roman" w:hAnsi="Times New Roman" w:eastAsia="Times New Roman"/>
                <w:color w:val="auto"/>
                <w:sz w:val="22"/>
                <w:lang w:val="en-US"/>
              </w:rPr>
            </w:pPr>
            <w:r>
              <w:rPr>
                <w:rFonts w:hint="eastAsia" w:ascii="宋体" w:hAnsi="宋体"/>
                <w:color w:val="auto"/>
                <w:sz w:val="22"/>
                <w:lang w:val="zh-CN"/>
              </w:rPr>
              <w:t>癌</w:t>
            </w:r>
          </w:p>
          <w:p>
            <w:pPr>
              <w:spacing w:beforeLines="0" w:afterLines="0"/>
              <w:jc w:val="center"/>
              <w:rPr>
                <w:rFonts w:hint="default" w:ascii="Times New Roman" w:hAnsi="Times New Roman" w:eastAsia="Times New Roman"/>
                <w:color w:val="auto"/>
                <w:sz w:val="22"/>
                <w:lang w:val="en-US"/>
              </w:rPr>
            </w:pPr>
            <w:r>
              <w:rPr>
                <w:rFonts w:hint="eastAsia" w:ascii="宋体" w:hAnsi="宋体"/>
                <w:color w:val="auto"/>
                <w:sz w:val="22"/>
                <w:lang w:val="zh-CN"/>
              </w:rPr>
              <w:t>症</w:t>
            </w:r>
          </w:p>
          <w:p>
            <w:pPr>
              <w:spacing w:beforeLines="0" w:afterLines="0"/>
              <w:jc w:val="center"/>
              <w:rPr>
                <w:rFonts w:hint="default" w:ascii="Times New Roman" w:hAnsi="Times New Roman" w:eastAsia="Times New Roman"/>
                <w:color w:val="auto"/>
                <w:sz w:val="22"/>
                <w:lang w:val="en-US"/>
              </w:rPr>
            </w:pPr>
            <w:r>
              <w:rPr>
                <w:rFonts w:hint="eastAsia" w:ascii="宋体" w:hAnsi="宋体"/>
                <w:color w:val="auto"/>
                <w:sz w:val="22"/>
                <w:lang w:val="zh-CN"/>
              </w:rPr>
              <w:t>、</w:t>
            </w:r>
          </w:p>
          <w:p>
            <w:pPr>
              <w:spacing w:beforeLines="0" w:afterLines="0"/>
              <w:jc w:val="center"/>
              <w:rPr>
                <w:rFonts w:hint="default" w:ascii="Times New Roman" w:hAnsi="Times New Roman" w:eastAsia="Times New Roman"/>
                <w:color w:val="auto"/>
                <w:sz w:val="22"/>
                <w:lang w:val="en-US"/>
              </w:rPr>
            </w:pPr>
            <w:r>
              <w:rPr>
                <w:rFonts w:hint="eastAsia" w:ascii="宋体" w:hAnsi="宋体"/>
                <w:color w:val="auto"/>
                <w:sz w:val="22"/>
                <w:lang w:val="zh-CN"/>
              </w:rPr>
              <w:t>慢</w:t>
            </w:r>
          </w:p>
          <w:p>
            <w:pPr>
              <w:spacing w:beforeLines="0" w:afterLines="0"/>
              <w:jc w:val="center"/>
              <w:rPr>
                <w:rFonts w:hint="default" w:ascii="Times New Roman" w:hAnsi="Times New Roman" w:eastAsia="Times New Roman"/>
                <w:color w:val="auto"/>
                <w:sz w:val="22"/>
                <w:lang w:val="en-US"/>
              </w:rPr>
            </w:pPr>
            <w:r>
              <w:rPr>
                <w:rFonts w:hint="eastAsia" w:ascii="宋体" w:hAnsi="宋体"/>
                <w:color w:val="auto"/>
                <w:sz w:val="22"/>
                <w:lang w:val="zh-CN"/>
              </w:rPr>
              <w:t>性</w:t>
            </w:r>
          </w:p>
          <w:p>
            <w:pPr>
              <w:spacing w:beforeLines="0" w:afterLines="0"/>
              <w:jc w:val="center"/>
              <w:rPr>
                <w:rFonts w:hint="default" w:ascii="Times New Roman" w:hAnsi="Times New Roman" w:eastAsia="Times New Roman"/>
                <w:color w:val="auto"/>
                <w:sz w:val="22"/>
                <w:lang w:val="en-US"/>
              </w:rPr>
            </w:pPr>
            <w:r>
              <w:rPr>
                <w:rFonts w:hint="eastAsia" w:ascii="宋体" w:hAnsi="宋体"/>
                <w:color w:val="auto"/>
                <w:sz w:val="22"/>
                <w:lang w:val="zh-CN"/>
              </w:rPr>
              <w:t>呼</w:t>
            </w:r>
          </w:p>
          <w:p>
            <w:pPr>
              <w:spacing w:beforeLines="0" w:afterLines="0"/>
              <w:jc w:val="center"/>
              <w:rPr>
                <w:rFonts w:hint="default" w:ascii="Times New Roman" w:hAnsi="Times New Roman" w:eastAsia="Times New Roman"/>
                <w:color w:val="auto"/>
                <w:sz w:val="22"/>
                <w:lang w:val="en-US"/>
              </w:rPr>
            </w:pPr>
            <w:r>
              <w:rPr>
                <w:rFonts w:hint="eastAsia" w:ascii="宋体" w:hAnsi="宋体"/>
                <w:color w:val="auto"/>
                <w:sz w:val="22"/>
                <w:lang w:val="zh-CN"/>
              </w:rPr>
              <w:t>吸</w:t>
            </w:r>
          </w:p>
          <w:p>
            <w:pPr>
              <w:spacing w:beforeLines="0" w:afterLines="0"/>
              <w:jc w:val="center"/>
              <w:rPr>
                <w:rFonts w:hint="default" w:ascii="Times New Roman" w:hAnsi="Times New Roman" w:eastAsia="Times New Roman"/>
                <w:color w:val="auto"/>
                <w:sz w:val="22"/>
                <w:lang w:val="en-US"/>
              </w:rPr>
            </w:pPr>
            <w:r>
              <w:rPr>
                <w:rFonts w:hint="eastAsia" w:ascii="宋体" w:hAnsi="宋体"/>
                <w:color w:val="auto"/>
                <w:sz w:val="22"/>
                <w:lang w:val="zh-CN"/>
              </w:rPr>
              <w:t>系</w:t>
            </w:r>
          </w:p>
          <w:p>
            <w:pPr>
              <w:spacing w:beforeLines="0" w:afterLines="0"/>
              <w:jc w:val="center"/>
              <w:rPr>
                <w:rFonts w:hint="default" w:ascii="Times New Roman" w:hAnsi="Times New Roman" w:eastAsia="Times New Roman"/>
                <w:color w:val="auto"/>
                <w:sz w:val="22"/>
                <w:lang w:val="en-US"/>
              </w:rPr>
            </w:pPr>
            <w:r>
              <w:rPr>
                <w:rFonts w:hint="eastAsia" w:ascii="宋体" w:hAnsi="宋体"/>
                <w:color w:val="auto"/>
                <w:sz w:val="22"/>
                <w:lang w:val="zh-CN"/>
              </w:rPr>
              <w:t>统</w:t>
            </w:r>
          </w:p>
          <w:p>
            <w:pPr>
              <w:spacing w:beforeLines="0" w:afterLines="0"/>
              <w:jc w:val="center"/>
              <w:rPr>
                <w:rFonts w:hint="default" w:ascii="Times New Roman" w:hAnsi="Times New Roman" w:eastAsia="Times New Roman"/>
                <w:color w:val="auto"/>
                <w:sz w:val="22"/>
                <w:lang w:val="en-US"/>
              </w:rPr>
            </w:pPr>
            <w:r>
              <w:rPr>
                <w:rFonts w:hint="eastAsia" w:ascii="宋体" w:hAnsi="宋体"/>
                <w:color w:val="auto"/>
                <w:sz w:val="22"/>
                <w:lang w:val="zh-CN"/>
              </w:rPr>
              <w:t>疾</w:t>
            </w:r>
          </w:p>
          <w:p>
            <w:pPr>
              <w:spacing w:beforeLines="0" w:afterLines="0"/>
              <w:jc w:val="center"/>
              <w:rPr>
                <w:rFonts w:hint="default" w:ascii="Times New Roman" w:hAnsi="Times New Roman" w:eastAsia="Times New Roman"/>
                <w:color w:val="auto"/>
                <w:sz w:val="22"/>
                <w:lang w:val="en-US"/>
              </w:rPr>
            </w:pPr>
            <w:r>
              <w:rPr>
                <w:rFonts w:hint="eastAsia" w:ascii="宋体" w:hAnsi="宋体"/>
                <w:color w:val="auto"/>
                <w:sz w:val="22"/>
                <w:lang w:val="zh-CN"/>
              </w:rPr>
              <w:t>病</w:t>
            </w:r>
          </w:p>
          <w:p>
            <w:pPr>
              <w:spacing w:beforeLines="0" w:afterLines="0"/>
              <w:jc w:val="center"/>
              <w:rPr>
                <w:rFonts w:hint="default" w:ascii="Times New Roman" w:hAnsi="Times New Roman" w:eastAsia="Times New Roman"/>
                <w:color w:val="auto"/>
                <w:sz w:val="22"/>
                <w:lang w:val="en-US"/>
              </w:rPr>
            </w:pPr>
            <w:r>
              <w:rPr>
                <w:rFonts w:hint="eastAsia" w:ascii="宋体" w:hAnsi="宋体"/>
                <w:color w:val="auto"/>
                <w:sz w:val="22"/>
                <w:lang w:val="zh-CN"/>
              </w:rPr>
              <w:t>、</w:t>
            </w:r>
          </w:p>
          <w:p>
            <w:pPr>
              <w:spacing w:beforeLines="0" w:afterLines="0"/>
              <w:jc w:val="center"/>
              <w:rPr>
                <w:rFonts w:hint="default" w:ascii="Times New Roman" w:hAnsi="Times New Roman" w:eastAsia="Times New Roman"/>
                <w:color w:val="auto"/>
                <w:sz w:val="22"/>
                <w:lang w:val="en-US"/>
              </w:rPr>
            </w:pPr>
            <w:r>
              <w:rPr>
                <w:rFonts w:hint="eastAsia" w:ascii="宋体" w:hAnsi="宋体"/>
                <w:color w:val="auto"/>
                <w:sz w:val="22"/>
                <w:lang w:val="zh-CN"/>
              </w:rPr>
              <w:t>糖</w:t>
            </w:r>
          </w:p>
          <w:p>
            <w:pPr>
              <w:spacing w:beforeLines="0" w:afterLines="0"/>
              <w:jc w:val="center"/>
              <w:rPr>
                <w:rFonts w:hint="default" w:ascii="Times New Roman" w:hAnsi="Times New Roman" w:eastAsia="Times New Roman"/>
                <w:color w:val="auto"/>
                <w:sz w:val="22"/>
                <w:lang w:val="en-US"/>
              </w:rPr>
            </w:pPr>
            <w:r>
              <w:rPr>
                <w:rFonts w:hint="eastAsia" w:ascii="宋体" w:hAnsi="宋体"/>
                <w:color w:val="auto"/>
                <w:sz w:val="22"/>
                <w:lang w:val="zh-CN"/>
              </w:rPr>
              <w:t>尿</w:t>
            </w:r>
          </w:p>
          <w:p>
            <w:pPr>
              <w:spacing w:beforeLines="0" w:afterLines="0"/>
              <w:jc w:val="center"/>
              <w:rPr>
                <w:rFonts w:hint="default" w:ascii="Times New Roman" w:hAnsi="Times New Roman" w:eastAsia="Times New Roman"/>
                <w:color w:val="auto"/>
                <w:sz w:val="22"/>
                <w:lang w:val="en-US"/>
              </w:rPr>
            </w:pPr>
            <w:r>
              <w:rPr>
                <w:rFonts w:hint="eastAsia" w:ascii="宋体" w:hAnsi="宋体"/>
                <w:color w:val="auto"/>
                <w:sz w:val="22"/>
                <w:lang w:val="zh-CN"/>
              </w:rPr>
              <w:t>病</w:t>
            </w:r>
          </w:p>
          <w:p>
            <w:pPr>
              <w:spacing w:beforeLines="0" w:afterLines="0"/>
              <w:jc w:val="center"/>
              <w:rPr>
                <w:rFonts w:hint="default" w:ascii="Times New Roman" w:hAnsi="Times New Roman" w:eastAsia="Times New Roman"/>
                <w:color w:val="auto"/>
                <w:sz w:val="22"/>
                <w:lang w:val="en-US"/>
              </w:rPr>
            </w:pPr>
            <w:r>
              <w:rPr>
                <w:rFonts w:hint="eastAsia" w:ascii="宋体" w:hAnsi="宋体"/>
                <w:color w:val="auto"/>
                <w:sz w:val="22"/>
                <w:lang w:val="zh-CN"/>
              </w:rPr>
              <w:t>防</w:t>
            </w:r>
          </w:p>
          <w:p>
            <w:pPr>
              <w:spacing w:beforeLines="0" w:afterLines="0"/>
              <w:jc w:val="center"/>
              <w:rPr>
                <w:rFonts w:hint="default" w:ascii="Times New Roman" w:hAnsi="Times New Roman" w:eastAsia="Times New Roman"/>
                <w:color w:val="auto"/>
                <w:sz w:val="22"/>
                <w:lang w:val="en-US"/>
              </w:rPr>
            </w:pPr>
            <w:r>
              <w:rPr>
                <w:rFonts w:hint="eastAsia" w:ascii="宋体" w:hAnsi="宋体"/>
                <w:color w:val="auto"/>
                <w:sz w:val="22"/>
                <w:lang w:val="zh-CN"/>
              </w:rPr>
              <w:t>治</w:t>
            </w:r>
          </w:p>
          <w:p>
            <w:pPr>
              <w:spacing w:beforeLines="0" w:afterLines="0"/>
              <w:jc w:val="center"/>
              <w:rPr>
                <w:rFonts w:hint="default" w:ascii="Times New Roman" w:hAnsi="Times New Roman" w:eastAsia="Times New Roman"/>
                <w:color w:val="auto"/>
                <w:sz w:val="22"/>
                <w:lang w:val="en-US"/>
              </w:rPr>
            </w:pPr>
            <w:r>
              <w:rPr>
                <w:rFonts w:hint="eastAsia" w:ascii="宋体" w:hAnsi="宋体"/>
                <w:color w:val="auto"/>
                <w:sz w:val="22"/>
                <w:lang w:val="zh-CN"/>
              </w:rPr>
              <w:t>行</w:t>
            </w:r>
          </w:p>
          <w:p>
            <w:pPr>
              <w:spacing w:beforeLines="0" w:afterLines="0"/>
              <w:jc w:val="center"/>
              <w:rPr>
                <w:rFonts w:hint="eastAsia" w:ascii="宋体" w:hAnsi="宋体"/>
                <w:color w:val="auto"/>
                <w:sz w:val="22"/>
                <w:lang w:val="zh-CN"/>
              </w:rPr>
            </w:pPr>
            <w:r>
              <w:rPr>
                <w:rFonts w:hint="eastAsia" w:ascii="宋体" w:hAnsi="宋体"/>
                <w:color w:val="auto"/>
                <w:sz w:val="22"/>
                <w:lang w:val="zh-CN"/>
              </w:rPr>
              <w:t>动</w:t>
            </w:r>
          </w:p>
        </w:tc>
        <w:tc>
          <w:tcPr>
            <w:tcW w:w="10212" w:type="dxa"/>
            <w:gridSpan w:val="8"/>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color w:val="auto"/>
                <w:sz w:val="24"/>
                <w:lang w:val="zh-CN"/>
              </w:rPr>
              <w:t>结果性指标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86</w:t>
            </w:r>
          </w:p>
        </w:tc>
        <w:tc>
          <w:tcPr>
            <w:tcW w:w="3458"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b/>
                <w:color w:val="auto"/>
                <w:sz w:val="24"/>
                <w:lang w:val="zh-CN"/>
              </w:rPr>
              <w:t>心脑血管疾病死亡率（</w:t>
            </w:r>
            <w:r>
              <w:rPr>
                <w:rFonts w:hint="default" w:ascii="Times New Roman" w:hAnsi="Times New Roman" w:eastAsia="Times New Roman"/>
                <w:b/>
                <w:color w:val="auto"/>
                <w:sz w:val="24"/>
                <w:lang w:val="en-US"/>
              </w:rPr>
              <w:t>1/10</w:t>
            </w:r>
            <w:r>
              <w:rPr>
                <w:rFonts w:hint="eastAsia" w:ascii="宋体" w:hAnsi="宋体"/>
                <w:b/>
                <w:color w:val="auto"/>
                <w:sz w:val="24"/>
                <w:lang w:val="zh-CN"/>
              </w:rPr>
              <w:t>万）</w:t>
            </w:r>
          </w:p>
        </w:tc>
        <w:tc>
          <w:tcPr>
            <w:tcW w:w="2262"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2015</w:t>
            </w:r>
            <w:r>
              <w:rPr>
                <w:rFonts w:hint="eastAsia" w:ascii="宋体" w:hAnsi="宋体"/>
                <w:color w:val="auto"/>
                <w:sz w:val="24"/>
                <w:lang w:val="zh-CN"/>
              </w:rPr>
              <w:t>年为</w:t>
            </w:r>
            <w:r>
              <w:rPr>
                <w:rFonts w:hint="default" w:ascii="Times New Roman" w:hAnsi="Times New Roman" w:eastAsia="Times New Roman"/>
                <w:color w:val="auto"/>
                <w:sz w:val="24"/>
                <w:lang w:val="en-US"/>
              </w:rPr>
              <w:t>238.4</w:t>
            </w:r>
          </w:p>
        </w:tc>
        <w:tc>
          <w:tcPr>
            <w:tcW w:w="851"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color w:val="auto"/>
                <w:sz w:val="24"/>
                <w:lang w:val="zh-CN"/>
              </w:rPr>
              <w:t>≤</w:t>
            </w:r>
            <w:r>
              <w:rPr>
                <w:rFonts w:hint="default" w:ascii="Times New Roman" w:hAnsi="Times New Roman" w:eastAsia="Times New Roman"/>
                <w:color w:val="auto"/>
                <w:sz w:val="24"/>
                <w:lang w:val="en-US"/>
              </w:rPr>
              <w:t>209.7</w:t>
            </w:r>
          </w:p>
        </w:tc>
        <w:tc>
          <w:tcPr>
            <w:tcW w:w="1898"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color w:val="auto"/>
                <w:sz w:val="24"/>
                <w:lang w:val="zh-CN"/>
              </w:rPr>
              <w:t>≤</w:t>
            </w:r>
            <w:r>
              <w:rPr>
                <w:rFonts w:hint="default" w:ascii="Times New Roman" w:hAnsi="Times New Roman" w:eastAsia="Times New Roman"/>
                <w:color w:val="auto"/>
                <w:sz w:val="24"/>
                <w:lang w:val="en-US"/>
              </w:rPr>
              <w:t>190.7</w:t>
            </w:r>
          </w:p>
        </w:tc>
        <w:tc>
          <w:tcPr>
            <w:tcW w:w="105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87</w:t>
            </w:r>
          </w:p>
        </w:tc>
        <w:tc>
          <w:tcPr>
            <w:tcW w:w="3458"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b/>
                <w:color w:val="auto"/>
                <w:sz w:val="24"/>
                <w:lang w:val="zh-CN"/>
              </w:rPr>
              <w:t>总体癌症</w:t>
            </w:r>
            <w:r>
              <w:rPr>
                <w:rFonts w:hint="default" w:ascii="Times New Roman" w:hAnsi="Times New Roman" w:eastAsia="Times New Roman"/>
                <w:b/>
                <w:color w:val="auto"/>
                <w:sz w:val="24"/>
                <w:lang w:val="en-US"/>
              </w:rPr>
              <w:t>5</w:t>
            </w:r>
            <w:r>
              <w:rPr>
                <w:rFonts w:hint="eastAsia" w:ascii="宋体" w:hAnsi="宋体"/>
                <w:b/>
                <w:color w:val="auto"/>
                <w:sz w:val="24"/>
                <w:lang w:val="zh-CN"/>
              </w:rPr>
              <w:t>年生存率（</w:t>
            </w:r>
            <w:r>
              <w:rPr>
                <w:rFonts w:hint="default" w:ascii="Times New Roman" w:hAnsi="Times New Roman" w:eastAsia="Times New Roman"/>
                <w:b/>
                <w:color w:val="auto"/>
                <w:sz w:val="24"/>
                <w:lang w:val="en-US"/>
              </w:rPr>
              <w:t>%</w:t>
            </w:r>
            <w:r>
              <w:rPr>
                <w:rFonts w:hint="eastAsia" w:ascii="宋体" w:hAnsi="宋体"/>
                <w:b/>
                <w:color w:val="auto"/>
                <w:sz w:val="24"/>
                <w:lang w:val="zh-CN"/>
              </w:rPr>
              <w:t>）</w:t>
            </w:r>
          </w:p>
        </w:tc>
        <w:tc>
          <w:tcPr>
            <w:tcW w:w="2262"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2015</w:t>
            </w:r>
            <w:r>
              <w:rPr>
                <w:rFonts w:hint="eastAsia" w:ascii="宋体" w:hAnsi="宋体"/>
                <w:color w:val="auto"/>
                <w:sz w:val="24"/>
                <w:lang w:val="zh-CN"/>
              </w:rPr>
              <w:t>年为</w:t>
            </w:r>
            <w:r>
              <w:rPr>
                <w:rFonts w:hint="default" w:ascii="Times New Roman" w:hAnsi="Times New Roman" w:eastAsia="Times New Roman"/>
                <w:color w:val="auto"/>
                <w:sz w:val="24"/>
                <w:lang w:val="en-US"/>
              </w:rPr>
              <w:t>40.5</w:t>
            </w:r>
          </w:p>
        </w:tc>
        <w:tc>
          <w:tcPr>
            <w:tcW w:w="851"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w:t>
            </w:r>
            <w:r>
              <w:rPr>
                <w:rFonts w:hint="default" w:ascii="Times New Roman" w:hAnsi="Times New Roman" w:eastAsia="Times New Roman"/>
                <w:color w:val="auto"/>
                <w:sz w:val="24"/>
                <w:lang w:val="en-US"/>
              </w:rPr>
              <w:t>43.3</w:t>
            </w:r>
          </w:p>
        </w:tc>
        <w:tc>
          <w:tcPr>
            <w:tcW w:w="1898"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w:t>
            </w:r>
            <w:r>
              <w:rPr>
                <w:rFonts w:hint="default" w:ascii="Times New Roman" w:hAnsi="Times New Roman" w:eastAsia="Times New Roman"/>
                <w:color w:val="auto"/>
                <w:sz w:val="24"/>
                <w:lang w:val="en-US"/>
              </w:rPr>
              <w:t>46.6</w:t>
            </w:r>
          </w:p>
        </w:tc>
        <w:tc>
          <w:tcPr>
            <w:tcW w:w="105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88</w:t>
            </w:r>
          </w:p>
        </w:tc>
        <w:tc>
          <w:tcPr>
            <w:tcW w:w="3458"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default" w:ascii="Times New Roman" w:hAnsi="Times New Roman" w:eastAsia="Times New Roman"/>
                <w:b/>
                <w:color w:val="auto"/>
                <w:sz w:val="24"/>
                <w:lang w:val="en-US"/>
              </w:rPr>
              <w:t>70</w:t>
            </w:r>
            <w:r>
              <w:rPr>
                <w:rFonts w:hint="eastAsia" w:ascii="宋体" w:hAnsi="宋体"/>
                <w:b/>
                <w:color w:val="auto"/>
                <w:sz w:val="24"/>
                <w:lang w:val="zh-CN"/>
              </w:rPr>
              <w:t>岁及以下人群慢性呼吸系统疾病死亡率（</w:t>
            </w:r>
            <w:r>
              <w:rPr>
                <w:rFonts w:hint="default" w:ascii="Times New Roman" w:hAnsi="Times New Roman" w:eastAsia="Times New Roman"/>
                <w:b/>
                <w:color w:val="auto"/>
                <w:sz w:val="24"/>
                <w:lang w:val="en-US"/>
              </w:rPr>
              <w:t>1/10</w:t>
            </w:r>
            <w:r>
              <w:rPr>
                <w:rFonts w:hint="eastAsia" w:ascii="宋体" w:hAnsi="宋体"/>
                <w:b/>
                <w:color w:val="auto"/>
                <w:sz w:val="24"/>
                <w:lang w:val="zh-CN"/>
              </w:rPr>
              <w:t>万）</w:t>
            </w:r>
          </w:p>
        </w:tc>
        <w:tc>
          <w:tcPr>
            <w:tcW w:w="2262"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2015</w:t>
            </w:r>
            <w:r>
              <w:rPr>
                <w:rFonts w:hint="eastAsia" w:ascii="宋体" w:hAnsi="宋体"/>
                <w:color w:val="auto"/>
                <w:sz w:val="24"/>
                <w:lang w:val="zh-CN"/>
              </w:rPr>
              <w:t>年为</w:t>
            </w:r>
            <w:r>
              <w:rPr>
                <w:rFonts w:hint="default" w:ascii="Times New Roman" w:hAnsi="Times New Roman" w:eastAsia="Times New Roman"/>
                <w:color w:val="auto"/>
                <w:sz w:val="24"/>
                <w:lang w:val="en-US"/>
              </w:rPr>
              <w:t>10.2</w:t>
            </w:r>
          </w:p>
        </w:tc>
        <w:tc>
          <w:tcPr>
            <w:tcW w:w="851"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w:t>
            </w:r>
            <w:r>
              <w:rPr>
                <w:rFonts w:hint="default" w:ascii="Times New Roman" w:hAnsi="Times New Roman" w:eastAsia="Times New Roman"/>
                <w:color w:val="auto"/>
                <w:sz w:val="24"/>
                <w:lang w:val="en-US"/>
              </w:rPr>
              <w:t>9.0</w:t>
            </w:r>
          </w:p>
        </w:tc>
        <w:tc>
          <w:tcPr>
            <w:tcW w:w="1898"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w:t>
            </w:r>
            <w:r>
              <w:rPr>
                <w:rFonts w:hint="default" w:ascii="Times New Roman" w:hAnsi="Times New Roman" w:eastAsia="Times New Roman"/>
                <w:color w:val="auto"/>
                <w:sz w:val="24"/>
                <w:lang w:val="en-US"/>
              </w:rPr>
              <w:t>8.1</w:t>
            </w:r>
          </w:p>
        </w:tc>
        <w:tc>
          <w:tcPr>
            <w:tcW w:w="105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89</w:t>
            </w:r>
          </w:p>
        </w:tc>
        <w:tc>
          <w:tcPr>
            <w:tcW w:w="3458"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320" w:lineRule="atLeast"/>
              <w:rPr>
                <w:rFonts w:hint="eastAsia" w:ascii="宋体" w:hAnsi="宋体"/>
                <w:color w:val="auto"/>
                <w:sz w:val="22"/>
                <w:lang w:val="zh-CN"/>
              </w:rPr>
            </w:pPr>
            <w:r>
              <w:rPr>
                <w:rFonts w:hint="default" w:ascii="Times New Roman" w:hAnsi="Times New Roman" w:eastAsia="Times New Roman"/>
                <w:b/>
                <w:color w:val="auto"/>
                <w:sz w:val="24"/>
                <w:lang w:val="en-US"/>
              </w:rPr>
              <w:t>30</w:t>
            </w:r>
            <w:r>
              <w:rPr>
                <w:rFonts w:hint="eastAsia" w:ascii="宋体" w:hAnsi="宋体"/>
                <w:b/>
                <w:color w:val="auto"/>
                <w:sz w:val="24"/>
                <w:lang w:val="zh-CN"/>
              </w:rPr>
              <w:t>～</w:t>
            </w:r>
            <w:r>
              <w:rPr>
                <w:rFonts w:hint="default" w:ascii="Times New Roman" w:hAnsi="Times New Roman" w:eastAsia="Times New Roman"/>
                <w:b/>
                <w:color w:val="auto"/>
                <w:sz w:val="24"/>
                <w:lang w:val="en-US"/>
              </w:rPr>
              <w:t>70</w:t>
            </w:r>
            <w:r>
              <w:rPr>
                <w:rFonts w:hint="eastAsia" w:ascii="宋体" w:hAnsi="宋体"/>
                <w:b/>
                <w:color w:val="auto"/>
                <w:sz w:val="24"/>
                <w:lang w:val="zh-CN"/>
              </w:rPr>
              <w:t>岁人群因心脑血管疾病、癌症、慢性呼吸系统疾病和糖尿病导致的过早死亡率（</w:t>
            </w:r>
            <w:r>
              <w:rPr>
                <w:rFonts w:hint="default" w:ascii="Times New Roman" w:hAnsi="Times New Roman" w:eastAsia="Times New Roman"/>
                <w:b/>
                <w:color w:val="auto"/>
                <w:sz w:val="24"/>
                <w:lang w:val="en-US"/>
              </w:rPr>
              <w:t>%</w:t>
            </w:r>
            <w:r>
              <w:rPr>
                <w:rFonts w:hint="eastAsia" w:ascii="宋体" w:hAnsi="宋体"/>
                <w:b/>
                <w:color w:val="auto"/>
                <w:sz w:val="24"/>
                <w:lang w:val="zh-CN"/>
              </w:rPr>
              <w:t>）</w:t>
            </w:r>
          </w:p>
        </w:tc>
        <w:tc>
          <w:tcPr>
            <w:tcW w:w="2262"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2015</w:t>
            </w:r>
            <w:r>
              <w:rPr>
                <w:rFonts w:hint="eastAsia" w:ascii="宋体" w:hAnsi="宋体"/>
                <w:color w:val="auto"/>
                <w:sz w:val="24"/>
                <w:lang w:val="zh-CN"/>
              </w:rPr>
              <w:t>年为</w:t>
            </w:r>
            <w:r>
              <w:rPr>
                <w:rFonts w:hint="default" w:ascii="Times New Roman" w:hAnsi="Times New Roman" w:eastAsia="Times New Roman"/>
                <w:color w:val="auto"/>
                <w:sz w:val="24"/>
                <w:lang w:val="en-US"/>
              </w:rPr>
              <w:t>18.5</w:t>
            </w:r>
          </w:p>
        </w:tc>
        <w:tc>
          <w:tcPr>
            <w:tcW w:w="851"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w:t>
            </w:r>
            <w:r>
              <w:rPr>
                <w:rFonts w:hint="default" w:ascii="Times New Roman" w:hAnsi="Times New Roman" w:eastAsia="Times New Roman"/>
                <w:color w:val="auto"/>
                <w:sz w:val="24"/>
                <w:lang w:val="en-US"/>
              </w:rPr>
              <w:t>15.9</w:t>
            </w:r>
          </w:p>
        </w:tc>
        <w:tc>
          <w:tcPr>
            <w:tcW w:w="1898"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w:t>
            </w:r>
            <w:r>
              <w:rPr>
                <w:rFonts w:hint="default" w:ascii="Times New Roman" w:hAnsi="Times New Roman" w:eastAsia="Times New Roman"/>
                <w:color w:val="auto"/>
                <w:sz w:val="24"/>
                <w:lang w:val="en-US"/>
              </w:rPr>
              <w:t>13.0</w:t>
            </w:r>
          </w:p>
        </w:tc>
        <w:tc>
          <w:tcPr>
            <w:tcW w:w="105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5"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9519" w:type="dxa"/>
            <w:gridSpan w:val="7"/>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color w:val="auto"/>
                <w:sz w:val="21"/>
                <w:lang w:val="zh-CN"/>
              </w:rPr>
              <w:t>说明：指</w:t>
            </w:r>
            <w:r>
              <w:rPr>
                <w:rFonts w:hint="default" w:ascii="Times New Roman" w:hAnsi="Times New Roman" w:eastAsia="Times New Roman"/>
                <w:color w:val="auto"/>
                <w:sz w:val="21"/>
                <w:lang w:val="en-US"/>
              </w:rPr>
              <w:t>30</w:t>
            </w:r>
            <w:r>
              <w:rPr>
                <w:rFonts w:hint="eastAsia" w:ascii="宋体" w:hAnsi="宋体"/>
                <w:color w:val="auto"/>
                <w:sz w:val="21"/>
                <w:lang w:val="zh-CN"/>
              </w:rPr>
              <w:t>～</w:t>
            </w:r>
            <w:r>
              <w:rPr>
                <w:rFonts w:hint="default" w:ascii="Times New Roman" w:hAnsi="Times New Roman" w:eastAsia="Times New Roman"/>
                <w:color w:val="auto"/>
                <w:sz w:val="21"/>
                <w:lang w:val="en-US"/>
              </w:rPr>
              <w:t>70</w:t>
            </w:r>
            <w:r>
              <w:rPr>
                <w:rFonts w:hint="eastAsia" w:ascii="宋体" w:hAnsi="宋体"/>
                <w:color w:val="auto"/>
                <w:sz w:val="21"/>
                <w:lang w:val="zh-CN"/>
              </w:rPr>
              <w:t>岁人群因心脑血管疾病、癌症、慢性呼吸系统疾病和糖尿病死亡的概率。根据世界卫生组织及各国统计数据，美国为</w:t>
            </w:r>
            <w:r>
              <w:rPr>
                <w:rFonts w:hint="default" w:ascii="Times New Roman" w:hAnsi="Times New Roman" w:eastAsia="Times New Roman"/>
                <w:color w:val="auto"/>
                <w:sz w:val="21"/>
                <w:lang w:val="en-US"/>
              </w:rPr>
              <w:t>14.3%</w:t>
            </w:r>
            <w:r>
              <w:rPr>
                <w:rFonts w:hint="eastAsia" w:ascii="宋体" w:hAnsi="宋体"/>
                <w:color w:val="auto"/>
                <w:sz w:val="21"/>
                <w:lang w:val="zh-CN"/>
              </w:rPr>
              <w:t>，英国为</w:t>
            </w:r>
            <w:r>
              <w:rPr>
                <w:rFonts w:hint="default" w:ascii="Times New Roman" w:hAnsi="Times New Roman" w:eastAsia="Times New Roman"/>
                <w:color w:val="auto"/>
                <w:sz w:val="21"/>
                <w:lang w:val="en-US"/>
              </w:rPr>
              <w:t>12%</w:t>
            </w:r>
            <w:r>
              <w:rPr>
                <w:rFonts w:hint="eastAsia" w:ascii="宋体" w:hAnsi="宋体"/>
                <w:color w:val="auto"/>
                <w:sz w:val="21"/>
                <w:lang w:val="zh-CN"/>
              </w:rPr>
              <w:t>，俄罗斯为</w:t>
            </w:r>
            <w:r>
              <w:rPr>
                <w:rFonts w:hint="default" w:ascii="Times New Roman" w:hAnsi="Times New Roman" w:eastAsia="Times New Roman"/>
                <w:color w:val="auto"/>
                <w:sz w:val="21"/>
                <w:lang w:val="en-US"/>
              </w:rPr>
              <w:t>29.9%</w:t>
            </w:r>
            <w:r>
              <w:rPr>
                <w:rFonts w:hint="eastAsia" w:ascii="宋体" w:hAnsi="宋体"/>
                <w:color w:val="auto"/>
                <w:sz w:val="21"/>
                <w:lang w:val="zh-CN"/>
              </w:rPr>
              <w:t>，印度为</w:t>
            </w:r>
            <w:r>
              <w:rPr>
                <w:rFonts w:hint="default" w:ascii="Times New Roman" w:hAnsi="Times New Roman" w:eastAsia="Times New Roman"/>
                <w:color w:val="auto"/>
                <w:sz w:val="21"/>
                <w:lang w:val="en-US"/>
              </w:rPr>
              <w:t>26.2%</w:t>
            </w:r>
            <w:r>
              <w:rPr>
                <w:rFonts w:hint="eastAsia" w:ascii="宋体" w:hAnsi="宋体"/>
                <w:color w:val="auto"/>
                <w:sz w:val="21"/>
                <w:lang w:val="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10212" w:type="dxa"/>
            <w:gridSpan w:val="8"/>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color w:val="auto"/>
                <w:sz w:val="24"/>
                <w:lang w:val="zh-CN"/>
              </w:rPr>
              <w:t>个人和社会倡导性指标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1"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90</w:t>
            </w:r>
          </w:p>
        </w:tc>
        <w:tc>
          <w:tcPr>
            <w:tcW w:w="3458"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b/>
                <w:color w:val="auto"/>
                <w:sz w:val="24"/>
                <w:lang w:val="zh-CN"/>
              </w:rPr>
              <w:t>人群健康体检率（</w:t>
            </w:r>
            <w:r>
              <w:rPr>
                <w:rFonts w:hint="default" w:ascii="Times New Roman" w:hAnsi="Times New Roman" w:eastAsia="Times New Roman"/>
                <w:b/>
                <w:color w:val="auto"/>
                <w:sz w:val="24"/>
                <w:lang w:val="en-US"/>
              </w:rPr>
              <w:t>%</w:t>
            </w:r>
            <w:r>
              <w:rPr>
                <w:rFonts w:hint="eastAsia" w:ascii="宋体" w:hAnsi="宋体"/>
                <w:b/>
                <w:color w:val="auto"/>
                <w:sz w:val="24"/>
                <w:lang w:val="zh-CN"/>
              </w:rPr>
              <w:t>）</w:t>
            </w:r>
          </w:p>
        </w:tc>
        <w:tc>
          <w:tcPr>
            <w:tcW w:w="2262"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宋体" w:hAnsi="宋体"/>
                <w:color w:val="auto"/>
                <w:sz w:val="24"/>
                <w:lang w:val="zh-CN"/>
              </w:rPr>
              <w:t>—</w:t>
            </w:r>
          </w:p>
        </w:tc>
        <w:tc>
          <w:tcPr>
            <w:tcW w:w="2749" w:type="dxa"/>
            <w:gridSpan w:val="3"/>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rPr>
                <w:rFonts w:hint="eastAsia" w:ascii="宋体" w:hAnsi="宋体"/>
                <w:color w:val="auto"/>
                <w:sz w:val="22"/>
                <w:lang w:val="zh-CN"/>
              </w:rPr>
            </w:pPr>
            <w:r>
              <w:rPr>
                <w:rFonts w:hint="eastAsia" w:ascii="宋体" w:hAnsi="宋体"/>
                <w:color w:val="auto"/>
                <w:sz w:val="24"/>
                <w:lang w:val="zh-CN"/>
              </w:rPr>
              <w:t>持续提高</w:t>
            </w:r>
          </w:p>
        </w:tc>
        <w:tc>
          <w:tcPr>
            <w:tcW w:w="105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倡导性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91</w:t>
            </w:r>
          </w:p>
        </w:tc>
        <w:tc>
          <w:tcPr>
            <w:tcW w:w="8469" w:type="dxa"/>
            <w:gridSpan w:val="6"/>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default" w:ascii="Times New Roman" w:hAnsi="Times New Roman" w:eastAsia="Times New Roman"/>
                <w:b/>
                <w:color w:val="auto"/>
                <w:sz w:val="24"/>
                <w:lang w:val="en-US"/>
              </w:rPr>
              <w:t>18</w:t>
            </w:r>
            <w:r>
              <w:rPr>
                <w:rFonts w:hint="eastAsia" w:ascii="宋体" w:hAnsi="宋体"/>
                <w:b/>
                <w:color w:val="auto"/>
                <w:sz w:val="24"/>
                <w:lang w:val="zh-CN"/>
              </w:rPr>
              <w:t>岁及以上成人定期自我监测血压，血压正常高值人群和其他高危人群经常测量血压</w:t>
            </w:r>
          </w:p>
        </w:tc>
        <w:tc>
          <w:tcPr>
            <w:tcW w:w="105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color w:val="auto"/>
                <w:sz w:val="24"/>
                <w:lang w:val="zh-CN"/>
              </w:rPr>
              <w:t>倡导性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9519" w:type="dxa"/>
            <w:gridSpan w:val="7"/>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color w:val="auto"/>
                <w:sz w:val="21"/>
                <w:lang w:val="zh-CN"/>
              </w:rPr>
              <w:t>说明：血压正常高值在医学上是指收缩压介于</w:t>
            </w:r>
            <w:r>
              <w:rPr>
                <w:rFonts w:hint="default" w:ascii="Times New Roman" w:hAnsi="Times New Roman" w:eastAsia="Times New Roman"/>
                <w:color w:val="auto"/>
                <w:sz w:val="21"/>
                <w:lang w:val="en-US"/>
              </w:rPr>
              <w:t>120</w:t>
            </w:r>
            <w:r>
              <w:rPr>
                <w:rFonts w:hint="eastAsia" w:ascii="宋体" w:hAnsi="宋体"/>
                <w:color w:val="auto"/>
                <w:sz w:val="21"/>
                <w:lang w:val="zh-CN"/>
              </w:rPr>
              <w:t>～</w:t>
            </w:r>
            <w:r>
              <w:rPr>
                <w:rFonts w:hint="default" w:ascii="Times New Roman" w:hAnsi="Times New Roman" w:eastAsia="Times New Roman"/>
                <w:color w:val="auto"/>
                <w:sz w:val="21"/>
                <w:lang w:val="en-US"/>
              </w:rPr>
              <w:t xml:space="preserve">139 mmHg </w:t>
            </w:r>
            <w:r>
              <w:rPr>
                <w:rFonts w:hint="eastAsia" w:ascii="宋体" w:hAnsi="宋体"/>
                <w:color w:val="auto"/>
                <w:sz w:val="21"/>
                <w:lang w:val="zh-CN"/>
              </w:rPr>
              <w:t>之间，和（或）舒张压介于</w:t>
            </w:r>
            <w:r>
              <w:rPr>
                <w:rFonts w:hint="default" w:ascii="Times New Roman" w:hAnsi="Times New Roman" w:eastAsia="Times New Roman"/>
                <w:color w:val="auto"/>
                <w:sz w:val="21"/>
                <w:lang w:val="en-US"/>
              </w:rPr>
              <w:t>80</w:t>
            </w:r>
            <w:r>
              <w:rPr>
                <w:rFonts w:hint="eastAsia" w:ascii="宋体" w:hAnsi="宋体"/>
                <w:color w:val="auto"/>
                <w:sz w:val="21"/>
                <w:lang w:val="zh-CN"/>
              </w:rPr>
              <w:t>～</w:t>
            </w:r>
            <w:r>
              <w:rPr>
                <w:rFonts w:hint="default" w:ascii="Times New Roman" w:hAnsi="Times New Roman" w:eastAsia="Times New Roman"/>
                <w:color w:val="auto"/>
                <w:sz w:val="21"/>
                <w:lang w:val="en-US"/>
              </w:rPr>
              <w:t>89 mmHg</w:t>
            </w:r>
            <w:r>
              <w:rPr>
                <w:rFonts w:hint="eastAsia" w:ascii="宋体" w:hAnsi="宋体"/>
                <w:color w:val="auto"/>
                <w:sz w:val="21"/>
                <w:lang w:val="zh-CN"/>
              </w:rPr>
              <w:t>之间的情况。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92</w:t>
            </w:r>
          </w:p>
        </w:tc>
        <w:tc>
          <w:tcPr>
            <w:tcW w:w="8469" w:type="dxa"/>
            <w:gridSpan w:val="6"/>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default" w:ascii="Times New Roman" w:hAnsi="Times New Roman" w:eastAsia="Times New Roman"/>
                <w:b/>
                <w:color w:val="auto"/>
                <w:sz w:val="24"/>
                <w:lang w:val="en-US"/>
              </w:rPr>
              <w:t>40</w:t>
            </w:r>
            <w:r>
              <w:rPr>
                <w:rFonts w:hint="eastAsia" w:ascii="宋体" w:hAnsi="宋体"/>
                <w:b/>
                <w:color w:val="auto"/>
                <w:sz w:val="24"/>
                <w:lang w:val="zh-CN"/>
              </w:rPr>
              <w:t>岁以下血脂正常人群每</w:t>
            </w:r>
            <w:r>
              <w:rPr>
                <w:rFonts w:hint="default" w:ascii="Times New Roman" w:hAnsi="Times New Roman" w:eastAsia="Times New Roman"/>
                <w:b/>
                <w:color w:val="auto"/>
                <w:sz w:val="24"/>
                <w:lang w:val="en-US"/>
              </w:rPr>
              <w:t>2</w:t>
            </w:r>
            <w:r>
              <w:rPr>
                <w:rFonts w:hint="eastAsia" w:ascii="宋体" w:hAnsi="宋体"/>
                <w:b/>
                <w:color w:val="auto"/>
                <w:sz w:val="24"/>
                <w:lang w:val="zh-CN"/>
              </w:rPr>
              <w:t>～</w:t>
            </w:r>
            <w:r>
              <w:rPr>
                <w:rFonts w:hint="default" w:ascii="Times New Roman" w:hAnsi="Times New Roman" w:eastAsia="Times New Roman"/>
                <w:b/>
                <w:color w:val="auto"/>
                <w:sz w:val="24"/>
                <w:lang w:val="en-US"/>
              </w:rPr>
              <w:t>5</w:t>
            </w:r>
            <w:r>
              <w:rPr>
                <w:rFonts w:hint="eastAsia" w:ascii="宋体" w:hAnsi="宋体"/>
                <w:b/>
                <w:color w:val="auto"/>
                <w:sz w:val="24"/>
                <w:lang w:val="zh-CN"/>
              </w:rPr>
              <w:t>年检测</w:t>
            </w:r>
            <w:r>
              <w:rPr>
                <w:rFonts w:hint="default" w:ascii="Times New Roman" w:hAnsi="Times New Roman" w:eastAsia="Times New Roman"/>
                <w:b/>
                <w:color w:val="auto"/>
                <w:sz w:val="24"/>
                <w:lang w:val="en-US"/>
              </w:rPr>
              <w:t>1</w:t>
            </w:r>
            <w:r>
              <w:rPr>
                <w:rFonts w:hint="eastAsia" w:ascii="宋体" w:hAnsi="宋体"/>
                <w:b/>
                <w:color w:val="auto"/>
                <w:sz w:val="24"/>
                <w:lang w:val="zh-CN"/>
              </w:rPr>
              <w:t>次血脂，</w:t>
            </w:r>
            <w:r>
              <w:rPr>
                <w:rFonts w:hint="default" w:ascii="Times New Roman" w:hAnsi="Times New Roman" w:eastAsia="Times New Roman"/>
                <w:b/>
                <w:color w:val="auto"/>
                <w:sz w:val="24"/>
                <w:lang w:val="en-US"/>
              </w:rPr>
              <w:t>40</w:t>
            </w:r>
            <w:r>
              <w:rPr>
                <w:rFonts w:hint="eastAsia" w:ascii="宋体" w:hAnsi="宋体"/>
                <w:b/>
                <w:color w:val="auto"/>
                <w:sz w:val="24"/>
                <w:lang w:val="zh-CN"/>
              </w:rPr>
              <w:t>岁及以上人群至少每年检测</w:t>
            </w:r>
            <w:r>
              <w:rPr>
                <w:rFonts w:hint="default" w:ascii="Times New Roman" w:hAnsi="Times New Roman" w:eastAsia="Times New Roman"/>
                <w:b/>
                <w:color w:val="auto"/>
                <w:sz w:val="24"/>
                <w:lang w:val="en-US"/>
              </w:rPr>
              <w:t>1</w:t>
            </w:r>
            <w:r>
              <w:rPr>
                <w:rFonts w:hint="eastAsia" w:ascii="宋体" w:hAnsi="宋体"/>
                <w:b/>
                <w:color w:val="auto"/>
                <w:sz w:val="24"/>
                <w:lang w:val="zh-CN"/>
              </w:rPr>
              <w:t>次血脂，心脑血管疾病高危人群每</w:t>
            </w:r>
            <w:r>
              <w:rPr>
                <w:rFonts w:hint="default" w:ascii="Times New Roman" w:hAnsi="Times New Roman" w:eastAsia="Times New Roman"/>
                <w:b/>
                <w:color w:val="auto"/>
                <w:sz w:val="24"/>
                <w:lang w:val="en-US"/>
              </w:rPr>
              <w:t>6</w:t>
            </w:r>
            <w:r>
              <w:rPr>
                <w:rFonts w:hint="eastAsia" w:ascii="宋体" w:hAnsi="宋体"/>
                <w:b/>
                <w:color w:val="auto"/>
                <w:sz w:val="24"/>
                <w:lang w:val="zh-CN"/>
              </w:rPr>
              <w:t>个月检测</w:t>
            </w:r>
            <w:r>
              <w:rPr>
                <w:rFonts w:hint="default" w:ascii="Times New Roman" w:hAnsi="Times New Roman" w:eastAsia="Times New Roman"/>
                <w:b/>
                <w:color w:val="auto"/>
                <w:sz w:val="24"/>
                <w:lang w:val="en-US"/>
              </w:rPr>
              <w:t>1</w:t>
            </w:r>
            <w:r>
              <w:rPr>
                <w:rFonts w:hint="eastAsia" w:ascii="宋体" w:hAnsi="宋体"/>
                <w:b/>
                <w:color w:val="auto"/>
                <w:sz w:val="24"/>
                <w:lang w:val="zh-CN"/>
              </w:rPr>
              <w:t>次血脂</w:t>
            </w:r>
          </w:p>
        </w:tc>
        <w:tc>
          <w:tcPr>
            <w:tcW w:w="105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倡导性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93</w:t>
            </w:r>
          </w:p>
        </w:tc>
        <w:tc>
          <w:tcPr>
            <w:tcW w:w="8469" w:type="dxa"/>
            <w:gridSpan w:val="6"/>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b/>
                <w:color w:val="auto"/>
                <w:sz w:val="24"/>
                <w:lang w:val="zh-CN"/>
              </w:rPr>
              <w:t>基本实现</w:t>
            </w:r>
            <w:r>
              <w:rPr>
                <w:rFonts w:hint="default" w:ascii="Times New Roman" w:hAnsi="Times New Roman" w:eastAsia="Times New Roman"/>
                <w:b/>
                <w:color w:val="auto"/>
                <w:sz w:val="24"/>
                <w:lang w:val="en-US"/>
              </w:rPr>
              <w:t>40</w:t>
            </w:r>
            <w:r>
              <w:rPr>
                <w:rFonts w:hint="eastAsia" w:ascii="宋体" w:hAnsi="宋体"/>
                <w:b/>
                <w:color w:val="auto"/>
                <w:sz w:val="24"/>
                <w:lang w:val="zh-CN"/>
              </w:rPr>
              <w:t>岁及以上人群每年至少检测</w:t>
            </w:r>
            <w:r>
              <w:rPr>
                <w:rFonts w:hint="default" w:ascii="Times New Roman" w:hAnsi="Times New Roman" w:eastAsia="Times New Roman"/>
                <w:b/>
                <w:color w:val="auto"/>
                <w:sz w:val="24"/>
                <w:lang w:val="en-US"/>
              </w:rPr>
              <w:t>1</w:t>
            </w:r>
            <w:r>
              <w:rPr>
                <w:rFonts w:hint="eastAsia" w:ascii="宋体" w:hAnsi="宋体"/>
                <w:b/>
                <w:color w:val="auto"/>
                <w:sz w:val="24"/>
                <w:lang w:val="zh-CN"/>
              </w:rPr>
              <w:t>次空腹血糖，糖尿病前期人群每</w:t>
            </w:r>
            <w:r>
              <w:rPr>
                <w:rFonts w:hint="default" w:ascii="Times New Roman" w:hAnsi="Times New Roman" w:eastAsia="Times New Roman"/>
                <w:b/>
                <w:color w:val="auto"/>
                <w:sz w:val="24"/>
                <w:lang w:val="en-US"/>
              </w:rPr>
              <w:t>6</w:t>
            </w:r>
            <w:r>
              <w:rPr>
                <w:rFonts w:hint="eastAsia" w:ascii="宋体" w:hAnsi="宋体"/>
                <w:b/>
                <w:color w:val="auto"/>
                <w:sz w:val="24"/>
                <w:lang w:val="zh-CN"/>
              </w:rPr>
              <w:t>个月检测</w:t>
            </w:r>
            <w:r>
              <w:rPr>
                <w:rFonts w:hint="default" w:ascii="Times New Roman" w:hAnsi="Times New Roman" w:eastAsia="Times New Roman"/>
                <w:b/>
                <w:color w:val="auto"/>
                <w:sz w:val="24"/>
                <w:lang w:val="en-US"/>
              </w:rPr>
              <w:t>1</w:t>
            </w:r>
            <w:r>
              <w:rPr>
                <w:rFonts w:hint="eastAsia" w:ascii="宋体" w:hAnsi="宋体"/>
                <w:b/>
                <w:color w:val="auto"/>
                <w:sz w:val="24"/>
                <w:lang w:val="zh-CN"/>
              </w:rPr>
              <w:t>次空腹或餐后</w:t>
            </w:r>
            <w:r>
              <w:rPr>
                <w:rFonts w:hint="default" w:ascii="Times New Roman" w:hAnsi="Times New Roman" w:eastAsia="Times New Roman"/>
                <w:b/>
                <w:color w:val="auto"/>
                <w:sz w:val="24"/>
                <w:lang w:val="en-US"/>
              </w:rPr>
              <w:t>2</w:t>
            </w:r>
            <w:r>
              <w:rPr>
                <w:rFonts w:hint="eastAsia" w:ascii="宋体" w:hAnsi="宋体"/>
                <w:b/>
                <w:color w:val="auto"/>
                <w:sz w:val="24"/>
                <w:lang w:val="zh-CN"/>
              </w:rPr>
              <w:t>小时血糖</w:t>
            </w:r>
          </w:p>
        </w:tc>
        <w:tc>
          <w:tcPr>
            <w:tcW w:w="105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倡导性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9519" w:type="dxa"/>
            <w:gridSpan w:val="7"/>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color w:val="auto"/>
                <w:sz w:val="21"/>
                <w:lang w:val="zh-CN"/>
              </w:rPr>
              <w:t>说明：糖尿病前期人群是指空腹血糖受损或糖耐量异常，但未达到糖尿病诊断标准的人群，血糖轻微升高，无明显症状，但存在糖尿病高患病风险的人群。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9"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94</w:t>
            </w:r>
          </w:p>
        </w:tc>
        <w:tc>
          <w:tcPr>
            <w:tcW w:w="8469" w:type="dxa"/>
            <w:gridSpan w:val="6"/>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b/>
                <w:color w:val="auto"/>
                <w:sz w:val="24"/>
                <w:lang w:val="zh-CN"/>
              </w:rPr>
              <w:t>基本实现癌症高危人群定期参加防癌体检</w:t>
            </w:r>
          </w:p>
        </w:tc>
        <w:tc>
          <w:tcPr>
            <w:tcW w:w="105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倡导性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9"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95</w:t>
            </w:r>
          </w:p>
        </w:tc>
        <w:tc>
          <w:tcPr>
            <w:tcW w:w="8469" w:type="dxa"/>
            <w:gridSpan w:val="6"/>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default" w:ascii="Times New Roman" w:hAnsi="Times New Roman" w:eastAsia="Times New Roman"/>
                <w:b/>
                <w:color w:val="auto"/>
                <w:sz w:val="24"/>
                <w:lang w:val="en-US"/>
              </w:rPr>
              <w:t>40</w:t>
            </w:r>
            <w:r>
              <w:rPr>
                <w:rFonts w:hint="eastAsia" w:ascii="宋体" w:hAnsi="宋体"/>
                <w:b/>
                <w:color w:val="auto"/>
                <w:sz w:val="24"/>
                <w:lang w:val="zh-CN"/>
              </w:rPr>
              <w:t>岁及以上人群或慢性呼吸系统疾病高危人群每年检查肺功能</w:t>
            </w:r>
            <w:r>
              <w:rPr>
                <w:rFonts w:hint="default" w:ascii="Times New Roman" w:hAnsi="Times New Roman" w:eastAsia="Times New Roman"/>
                <w:b/>
                <w:color w:val="auto"/>
                <w:sz w:val="24"/>
                <w:lang w:val="en-US"/>
              </w:rPr>
              <w:t>1</w:t>
            </w:r>
            <w:r>
              <w:rPr>
                <w:rFonts w:hint="eastAsia" w:ascii="宋体" w:hAnsi="宋体"/>
                <w:b/>
                <w:color w:val="auto"/>
                <w:sz w:val="24"/>
                <w:lang w:val="zh-CN"/>
              </w:rPr>
              <w:t>次</w:t>
            </w:r>
          </w:p>
        </w:tc>
        <w:tc>
          <w:tcPr>
            <w:tcW w:w="105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倡导性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10212" w:type="dxa"/>
            <w:gridSpan w:val="8"/>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color w:val="auto"/>
                <w:sz w:val="24"/>
                <w:lang w:val="zh-CN"/>
              </w:rPr>
              <w:t>政府工作指标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96</w:t>
            </w:r>
          </w:p>
        </w:tc>
        <w:tc>
          <w:tcPr>
            <w:tcW w:w="3458"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default" w:ascii="Times New Roman" w:hAnsi="Times New Roman" w:eastAsia="Times New Roman"/>
                <w:b/>
                <w:color w:val="auto"/>
                <w:sz w:val="24"/>
                <w:lang w:val="en-US"/>
              </w:rPr>
              <w:t>30</w:t>
            </w:r>
            <w:r>
              <w:rPr>
                <w:rFonts w:hint="eastAsia" w:ascii="宋体" w:hAnsi="宋体"/>
                <w:b/>
                <w:color w:val="auto"/>
                <w:sz w:val="24"/>
                <w:lang w:val="zh-CN"/>
              </w:rPr>
              <w:t>岁及以上居民高血压知晓率（</w:t>
            </w:r>
            <w:r>
              <w:rPr>
                <w:rFonts w:hint="default" w:ascii="Times New Roman" w:hAnsi="Times New Roman" w:eastAsia="Times New Roman"/>
                <w:b/>
                <w:color w:val="auto"/>
                <w:sz w:val="24"/>
                <w:lang w:val="en-US"/>
              </w:rPr>
              <w:t>%</w:t>
            </w:r>
            <w:r>
              <w:rPr>
                <w:rFonts w:hint="eastAsia" w:ascii="宋体" w:hAnsi="宋体"/>
                <w:b/>
                <w:color w:val="auto"/>
                <w:sz w:val="24"/>
                <w:lang w:val="zh-CN"/>
              </w:rPr>
              <w:t>）</w:t>
            </w:r>
          </w:p>
        </w:tc>
        <w:tc>
          <w:tcPr>
            <w:tcW w:w="2262"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2012</w:t>
            </w:r>
            <w:r>
              <w:rPr>
                <w:rFonts w:hint="eastAsia" w:ascii="宋体" w:hAnsi="宋体"/>
                <w:color w:val="auto"/>
                <w:sz w:val="24"/>
                <w:lang w:val="zh-CN"/>
              </w:rPr>
              <w:t>年为</w:t>
            </w:r>
            <w:r>
              <w:rPr>
                <w:rFonts w:hint="default" w:ascii="Times New Roman" w:hAnsi="Times New Roman" w:eastAsia="Times New Roman"/>
                <w:color w:val="auto"/>
                <w:sz w:val="24"/>
                <w:lang w:val="en-US"/>
              </w:rPr>
              <w:t>47</w:t>
            </w:r>
          </w:p>
        </w:tc>
        <w:tc>
          <w:tcPr>
            <w:tcW w:w="851"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w:t>
            </w:r>
            <w:r>
              <w:rPr>
                <w:rFonts w:hint="default" w:ascii="Times New Roman" w:hAnsi="Times New Roman" w:eastAsia="Times New Roman"/>
                <w:color w:val="auto"/>
                <w:sz w:val="24"/>
                <w:lang w:val="en-US"/>
              </w:rPr>
              <w:t>55</w:t>
            </w:r>
          </w:p>
        </w:tc>
        <w:tc>
          <w:tcPr>
            <w:tcW w:w="1898"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w:t>
            </w:r>
            <w:r>
              <w:rPr>
                <w:rFonts w:hint="default" w:ascii="Times New Roman" w:hAnsi="Times New Roman" w:eastAsia="Times New Roman"/>
                <w:color w:val="auto"/>
                <w:sz w:val="24"/>
                <w:lang w:val="en-US"/>
              </w:rPr>
              <w:t>65</w:t>
            </w:r>
          </w:p>
        </w:tc>
        <w:tc>
          <w:tcPr>
            <w:tcW w:w="105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9519" w:type="dxa"/>
            <w:gridSpan w:val="7"/>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color w:val="auto"/>
                <w:sz w:val="21"/>
                <w:lang w:val="zh-CN"/>
              </w:rPr>
              <w:t>说明：该指标是指调查确定的</w:t>
            </w:r>
            <w:r>
              <w:rPr>
                <w:rFonts w:hint="default" w:ascii="Times New Roman" w:hAnsi="Times New Roman" w:eastAsia="Times New Roman"/>
                <w:color w:val="auto"/>
                <w:sz w:val="21"/>
                <w:lang w:val="en-US"/>
              </w:rPr>
              <w:t>30</w:t>
            </w:r>
            <w:r>
              <w:rPr>
                <w:rFonts w:hint="eastAsia" w:ascii="宋体" w:hAnsi="宋体"/>
                <w:color w:val="auto"/>
                <w:sz w:val="21"/>
                <w:lang w:val="zh-CN"/>
              </w:rPr>
              <w:t>岁及以上高血压人群中，在测量血压之前即知道自己患有高血压者（经过有资质的医疗机构或医生诊断）所占比例。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97</w:t>
            </w:r>
          </w:p>
        </w:tc>
        <w:tc>
          <w:tcPr>
            <w:tcW w:w="3458"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b/>
                <w:color w:val="auto"/>
                <w:sz w:val="24"/>
                <w:lang w:val="zh-CN"/>
              </w:rPr>
              <w:t>高血压患者规范管理率（</w:t>
            </w:r>
            <w:r>
              <w:rPr>
                <w:rFonts w:hint="default" w:ascii="Times New Roman" w:hAnsi="Times New Roman" w:eastAsia="Times New Roman"/>
                <w:b/>
                <w:color w:val="auto"/>
                <w:sz w:val="24"/>
                <w:lang w:val="en-US"/>
              </w:rPr>
              <w:t>%</w:t>
            </w:r>
            <w:r>
              <w:rPr>
                <w:rFonts w:hint="eastAsia" w:ascii="宋体" w:hAnsi="宋体"/>
                <w:b/>
                <w:color w:val="auto"/>
                <w:sz w:val="24"/>
                <w:lang w:val="zh-CN"/>
              </w:rPr>
              <w:t>）</w:t>
            </w:r>
          </w:p>
        </w:tc>
        <w:tc>
          <w:tcPr>
            <w:tcW w:w="2262"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2015</w:t>
            </w:r>
            <w:r>
              <w:rPr>
                <w:rFonts w:hint="eastAsia" w:ascii="宋体" w:hAnsi="宋体"/>
                <w:color w:val="auto"/>
                <w:sz w:val="24"/>
                <w:lang w:val="zh-CN"/>
              </w:rPr>
              <w:t>年为</w:t>
            </w:r>
            <w:r>
              <w:rPr>
                <w:rFonts w:hint="default" w:ascii="Times New Roman" w:hAnsi="Times New Roman" w:eastAsia="Times New Roman"/>
                <w:color w:val="auto"/>
                <w:sz w:val="24"/>
                <w:lang w:val="en-US"/>
              </w:rPr>
              <w:t>50</w:t>
            </w:r>
          </w:p>
        </w:tc>
        <w:tc>
          <w:tcPr>
            <w:tcW w:w="851"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w:t>
            </w:r>
            <w:r>
              <w:rPr>
                <w:rFonts w:hint="default" w:ascii="Times New Roman" w:hAnsi="Times New Roman" w:eastAsia="Times New Roman"/>
                <w:color w:val="auto"/>
                <w:sz w:val="24"/>
                <w:lang w:val="en-US"/>
              </w:rPr>
              <w:t>60</w:t>
            </w:r>
          </w:p>
        </w:tc>
        <w:tc>
          <w:tcPr>
            <w:tcW w:w="803"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w:t>
            </w:r>
            <w:r>
              <w:rPr>
                <w:rFonts w:hint="default" w:ascii="Times New Roman" w:hAnsi="Times New Roman" w:eastAsia="Times New Roman"/>
                <w:color w:val="auto"/>
                <w:sz w:val="24"/>
                <w:lang w:val="en-US"/>
              </w:rPr>
              <w:t>70</w:t>
            </w:r>
          </w:p>
        </w:tc>
        <w:tc>
          <w:tcPr>
            <w:tcW w:w="2145"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9519" w:type="dxa"/>
            <w:gridSpan w:val="7"/>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color w:val="auto"/>
                <w:sz w:val="21"/>
                <w:lang w:val="zh-CN"/>
              </w:rPr>
              <w:t>说明：按照国家基本公共卫生服务规范要求进行高血压患者健康管理的人数占年内已管理的高血压患者人数的比例。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98</w:t>
            </w:r>
          </w:p>
        </w:tc>
        <w:tc>
          <w:tcPr>
            <w:tcW w:w="3458"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b/>
                <w:color w:val="auto"/>
                <w:sz w:val="24"/>
                <w:lang w:val="zh-CN"/>
              </w:rPr>
              <w:t>高血压治疗率（</w:t>
            </w:r>
            <w:r>
              <w:rPr>
                <w:rFonts w:hint="default" w:ascii="Times New Roman" w:hAnsi="Times New Roman" w:eastAsia="Times New Roman"/>
                <w:b/>
                <w:color w:val="auto"/>
                <w:sz w:val="24"/>
                <w:lang w:val="en-US"/>
              </w:rPr>
              <w:t>%</w:t>
            </w:r>
            <w:r>
              <w:rPr>
                <w:rFonts w:hint="eastAsia" w:ascii="宋体" w:hAnsi="宋体"/>
                <w:b/>
                <w:color w:val="auto"/>
                <w:sz w:val="24"/>
                <w:lang w:val="zh-CN"/>
              </w:rPr>
              <w:t>）</w:t>
            </w:r>
          </w:p>
        </w:tc>
        <w:tc>
          <w:tcPr>
            <w:tcW w:w="2262"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2012</w:t>
            </w:r>
            <w:r>
              <w:rPr>
                <w:rFonts w:hint="eastAsia" w:ascii="宋体" w:hAnsi="宋体"/>
                <w:color w:val="auto"/>
                <w:sz w:val="24"/>
                <w:lang w:val="zh-CN"/>
              </w:rPr>
              <w:t>年为</w:t>
            </w:r>
            <w:r>
              <w:rPr>
                <w:rFonts w:hint="default" w:ascii="Times New Roman" w:hAnsi="Times New Roman" w:eastAsia="Times New Roman"/>
                <w:color w:val="auto"/>
                <w:sz w:val="24"/>
                <w:lang w:val="en-US"/>
              </w:rPr>
              <w:t>41.1</w:t>
            </w:r>
          </w:p>
        </w:tc>
        <w:tc>
          <w:tcPr>
            <w:tcW w:w="1654"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持续提高</w:t>
            </w:r>
          </w:p>
        </w:tc>
        <w:tc>
          <w:tcPr>
            <w:tcW w:w="2145"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9519" w:type="dxa"/>
            <w:gridSpan w:val="7"/>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color w:val="auto"/>
                <w:sz w:val="21"/>
                <w:lang w:val="zh-CN"/>
              </w:rPr>
              <w:t>说明：调查的</w:t>
            </w:r>
            <w:r>
              <w:rPr>
                <w:rFonts w:hint="default" w:ascii="Times New Roman" w:hAnsi="Times New Roman" w:eastAsia="Times New Roman"/>
                <w:color w:val="auto"/>
                <w:sz w:val="21"/>
                <w:lang w:val="en-US"/>
              </w:rPr>
              <w:t>18</w:t>
            </w:r>
            <w:r>
              <w:rPr>
                <w:rFonts w:hint="eastAsia" w:ascii="宋体" w:hAnsi="宋体"/>
                <w:color w:val="auto"/>
                <w:sz w:val="21"/>
                <w:lang w:val="zh-CN"/>
              </w:rPr>
              <w:t>岁及以上高血压人群中，近两周内服用降压药物者所占的比例。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99</w:t>
            </w:r>
          </w:p>
        </w:tc>
        <w:tc>
          <w:tcPr>
            <w:tcW w:w="3458"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b/>
                <w:color w:val="auto"/>
                <w:sz w:val="24"/>
                <w:lang w:val="zh-CN"/>
              </w:rPr>
              <w:t>高血压控制率（</w:t>
            </w:r>
            <w:r>
              <w:rPr>
                <w:rFonts w:hint="default" w:ascii="Times New Roman" w:hAnsi="Times New Roman" w:eastAsia="Times New Roman"/>
                <w:b/>
                <w:color w:val="auto"/>
                <w:sz w:val="24"/>
                <w:lang w:val="en-US"/>
              </w:rPr>
              <w:t>%</w:t>
            </w:r>
            <w:r>
              <w:rPr>
                <w:rFonts w:hint="eastAsia" w:ascii="宋体" w:hAnsi="宋体"/>
                <w:b/>
                <w:color w:val="auto"/>
                <w:sz w:val="24"/>
                <w:lang w:val="zh-CN"/>
              </w:rPr>
              <w:t>）</w:t>
            </w:r>
          </w:p>
        </w:tc>
        <w:tc>
          <w:tcPr>
            <w:tcW w:w="2262"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2012</w:t>
            </w:r>
            <w:r>
              <w:rPr>
                <w:rFonts w:hint="eastAsia" w:ascii="宋体" w:hAnsi="宋体"/>
                <w:color w:val="auto"/>
                <w:sz w:val="24"/>
                <w:lang w:val="zh-CN"/>
              </w:rPr>
              <w:t>年为</w:t>
            </w:r>
            <w:r>
              <w:rPr>
                <w:rFonts w:hint="default" w:ascii="Times New Roman" w:hAnsi="Times New Roman" w:eastAsia="Times New Roman"/>
                <w:color w:val="auto"/>
                <w:sz w:val="24"/>
                <w:lang w:val="en-US"/>
              </w:rPr>
              <w:t>13.8</w:t>
            </w:r>
          </w:p>
        </w:tc>
        <w:tc>
          <w:tcPr>
            <w:tcW w:w="1654"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持续提高</w:t>
            </w:r>
          </w:p>
        </w:tc>
        <w:tc>
          <w:tcPr>
            <w:tcW w:w="2145"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9519" w:type="dxa"/>
            <w:gridSpan w:val="7"/>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color w:val="auto"/>
                <w:sz w:val="21"/>
                <w:lang w:val="zh-CN"/>
              </w:rPr>
              <w:t>说明：调查的</w:t>
            </w:r>
            <w:r>
              <w:rPr>
                <w:rFonts w:hint="default" w:ascii="Times New Roman" w:hAnsi="Times New Roman" w:eastAsia="Times New Roman"/>
                <w:color w:val="auto"/>
                <w:sz w:val="21"/>
                <w:lang w:val="en-US"/>
              </w:rPr>
              <w:t>18</w:t>
            </w:r>
            <w:r>
              <w:rPr>
                <w:rFonts w:hint="eastAsia" w:ascii="宋体" w:hAnsi="宋体"/>
                <w:color w:val="auto"/>
                <w:sz w:val="21"/>
                <w:lang w:val="zh-CN"/>
              </w:rPr>
              <w:t>岁及以上高血压人群中，通过治疗将血压水平控制在</w:t>
            </w:r>
            <w:r>
              <w:rPr>
                <w:rFonts w:hint="default" w:ascii="Times New Roman" w:hAnsi="Times New Roman" w:eastAsia="Times New Roman"/>
                <w:color w:val="auto"/>
                <w:sz w:val="21"/>
                <w:lang w:val="en-US"/>
              </w:rPr>
              <w:t>140/90mmHg</w:t>
            </w:r>
            <w:r>
              <w:rPr>
                <w:rFonts w:hint="eastAsia" w:ascii="宋体" w:hAnsi="宋体"/>
                <w:color w:val="auto"/>
                <w:sz w:val="21"/>
                <w:lang w:val="zh-CN"/>
              </w:rPr>
              <w:t>以下者所占的比例。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9"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100</w:t>
            </w:r>
          </w:p>
        </w:tc>
        <w:tc>
          <w:tcPr>
            <w:tcW w:w="3458"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b/>
                <w:color w:val="auto"/>
                <w:sz w:val="24"/>
                <w:lang w:val="zh-CN"/>
              </w:rPr>
              <w:t>静脉溶栓技术开展情况</w:t>
            </w:r>
          </w:p>
        </w:tc>
        <w:tc>
          <w:tcPr>
            <w:tcW w:w="2262"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宋体" w:hAnsi="宋体"/>
                <w:color w:val="auto"/>
                <w:sz w:val="24"/>
                <w:lang w:val="zh-CN"/>
              </w:rPr>
              <w:t>—</w:t>
            </w:r>
          </w:p>
        </w:tc>
        <w:tc>
          <w:tcPr>
            <w:tcW w:w="1654"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pacing w:val="-4"/>
                <w:sz w:val="24"/>
                <w:lang w:val="zh-CN"/>
              </w:rPr>
              <w:t>所有二级及以上医院卒中中心均开展</w:t>
            </w:r>
          </w:p>
        </w:tc>
        <w:tc>
          <w:tcPr>
            <w:tcW w:w="2145"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101</w:t>
            </w:r>
          </w:p>
        </w:tc>
        <w:tc>
          <w:tcPr>
            <w:tcW w:w="3458"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default" w:ascii="Times New Roman" w:hAnsi="Times New Roman" w:eastAsia="Times New Roman"/>
                <w:b/>
                <w:color w:val="auto"/>
                <w:sz w:val="24"/>
                <w:lang w:val="en-US"/>
              </w:rPr>
              <w:t>35</w:t>
            </w:r>
            <w:r>
              <w:rPr>
                <w:rFonts w:hint="eastAsia" w:ascii="宋体" w:hAnsi="宋体"/>
                <w:b/>
                <w:color w:val="auto"/>
                <w:sz w:val="24"/>
                <w:lang w:val="zh-CN"/>
              </w:rPr>
              <w:t>岁及以上居民年度血脂检测率（</w:t>
            </w:r>
            <w:r>
              <w:rPr>
                <w:rFonts w:hint="default" w:ascii="Times New Roman" w:hAnsi="Times New Roman" w:eastAsia="Times New Roman"/>
                <w:b/>
                <w:color w:val="auto"/>
                <w:sz w:val="24"/>
                <w:lang w:val="en-US"/>
              </w:rPr>
              <w:t>%</w:t>
            </w:r>
            <w:r>
              <w:rPr>
                <w:rFonts w:hint="eastAsia" w:ascii="宋体" w:hAnsi="宋体"/>
                <w:b/>
                <w:color w:val="auto"/>
                <w:sz w:val="24"/>
                <w:lang w:val="zh-CN"/>
              </w:rPr>
              <w:t>）</w:t>
            </w:r>
          </w:p>
        </w:tc>
        <w:tc>
          <w:tcPr>
            <w:tcW w:w="2262"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2012</w:t>
            </w:r>
            <w:r>
              <w:rPr>
                <w:rFonts w:hint="eastAsia" w:ascii="宋体" w:hAnsi="宋体"/>
                <w:color w:val="auto"/>
                <w:sz w:val="24"/>
                <w:lang w:val="zh-CN"/>
              </w:rPr>
              <w:t>年为</w:t>
            </w:r>
            <w:r>
              <w:rPr>
                <w:rFonts w:hint="default" w:ascii="Times New Roman" w:hAnsi="Times New Roman" w:eastAsia="Times New Roman"/>
                <w:color w:val="auto"/>
                <w:sz w:val="24"/>
                <w:lang w:val="en-US"/>
              </w:rPr>
              <w:t>19.4</w:t>
            </w:r>
          </w:p>
        </w:tc>
        <w:tc>
          <w:tcPr>
            <w:tcW w:w="851"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w:t>
            </w:r>
            <w:r>
              <w:rPr>
                <w:rFonts w:hint="default" w:ascii="Times New Roman" w:hAnsi="Times New Roman" w:eastAsia="Times New Roman"/>
                <w:color w:val="auto"/>
                <w:sz w:val="24"/>
                <w:lang w:val="en-US"/>
              </w:rPr>
              <w:t>27</w:t>
            </w:r>
          </w:p>
        </w:tc>
        <w:tc>
          <w:tcPr>
            <w:tcW w:w="803"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w:t>
            </w:r>
            <w:r>
              <w:rPr>
                <w:rFonts w:hint="default" w:ascii="Times New Roman" w:hAnsi="Times New Roman" w:eastAsia="Times New Roman"/>
                <w:color w:val="auto"/>
                <w:sz w:val="24"/>
                <w:lang w:val="en-US"/>
              </w:rPr>
              <w:t>35</w:t>
            </w:r>
          </w:p>
        </w:tc>
        <w:tc>
          <w:tcPr>
            <w:tcW w:w="2145"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9519" w:type="dxa"/>
            <w:gridSpan w:val="7"/>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color w:val="auto"/>
                <w:sz w:val="21"/>
                <w:lang w:val="zh-CN"/>
              </w:rPr>
              <w:t>说明：该指标是指</w:t>
            </w:r>
            <w:r>
              <w:rPr>
                <w:rFonts w:hint="default" w:ascii="Times New Roman" w:hAnsi="Times New Roman" w:eastAsia="Times New Roman"/>
                <w:color w:val="auto"/>
                <w:sz w:val="21"/>
                <w:lang w:val="en-US"/>
              </w:rPr>
              <w:t>35</w:t>
            </w:r>
            <w:r>
              <w:rPr>
                <w:rFonts w:hint="eastAsia" w:ascii="宋体" w:hAnsi="宋体"/>
                <w:color w:val="auto"/>
                <w:sz w:val="21"/>
                <w:lang w:val="zh-CN"/>
              </w:rPr>
              <w:t>岁及以上居民中每年对自身血液中所含脂类进行定量测定的人群比例。主要是测定血清中的总胆固醇、甘油三酯、低密度脂蛋白胆固醇和高密度脂蛋白胆固醇的水平等。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102</w:t>
            </w:r>
          </w:p>
        </w:tc>
        <w:tc>
          <w:tcPr>
            <w:tcW w:w="3458"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default" w:ascii="Times New Roman" w:hAnsi="Times New Roman" w:eastAsia="Times New Roman"/>
                <w:b/>
                <w:color w:val="auto"/>
                <w:sz w:val="24"/>
                <w:lang w:val="en-US"/>
              </w:rPr>
              <w:t>18</w:t>
            </w:r>
            <w:r>
              <w:rPr>
                <w:rFonts w:hint="eastAsia" w:ascii="宋体" w:hAnsi="宋体"/>
                <w:b/>
                <w:color w:val="auto"/>
                <w:sz w:val="24"/>
                <w:lang w:val="zh-CN"/>
              </w:rPr>
              <w:t>岁及以上居民糖尿病知晓率（</w:t>
            </w:r>
            <w:r>
              <w:rPr>
                <w:rFonts w:hint="default" w:ascii="Times New Roman" w:hAnsi="Times New Roman" w:eastAsia="Times New Roman"/>
                <w:b/>
                <w:color w:val="auto"/>
                <w:sz w:val="24"/>
                <w:lang w:val="en-US"/>
              </w:rPr>
              <w:t>%</w:t>
            </w:r>
            <w:r>
              <w:rPr>
                <w:rFonts w:hint="eastAsia" w:ascii="宋体" w:hAnsi="宋体"/>
                <w:b/>
                <w:color w:val="auto"/>
                <w:sz w:val="24"/>
                <w:lang w:val="zh-CN"/>
              </w:rPr>
              <w:t>）</w:t>
            </w:r>
          </w:p>
        </w:tc>
        <w:tc>
          <w:tcPr>
            <w:tcW w:w="2262"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2012</w:t>
            </w:r>
            <w:r>
              <w:rPr>
                <w:rFonts w:hint="eastAsia" w:ascii="宋体" w:hAnsi="宋体"/>
                <w:color w:val="auto"/>
                <w:sz w:val="24"/>
                <w:lang w:val="zh-CN"/>
              </w:rPr>
              <w:t>年为</w:t>
            </w:r>
            <w:r>
              <w:rPr>
                <w:rFonts w:hint="default" w:ascii="Times New Roman" w:hAnsi="Times New Roman" w:eastAsia="Times New Roman"/>
                <w:color w:val="auto"/>
                <w:sz w:val="24"/>
                <w:lang w:val="en-US"/>
              </w:rPr>
              <w:t>36.1</w:t>
            </w:r>
          </w:p>
        </w:tc>
        <w:tc>
          <w:tcPr>
            <w:tcW w:w="851"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w:t>
            </w:r>
            <w:r>
              <w:rPr>
                <w:rFonts w:hint="default" w:ascii="Times New Roman" w:hAnsi="Times New Roman" w:eastAsia="Times New Roman"/>
                <w:color w:val="auto"/>
                <w:sz w:val="24"/>
                <w:lang w:val="en-US"/>
              </w:rPr>
              <w:t>50</w:t>
            </w:r>
          </w:p>
        </w:tc>
        <w:tc>
          <w:tcPr>
            <w:tcW w:w="803"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w:t>
            </w:r>
            <w:r>
              <w:rPr>
                <w:rFonts w:hint="default" w:ascii="Times New Roman" w:hAnsi="Times New Roman" w:eastAsia="Times New Roman"/>
                <w:color w:val="auto"/>
                <w:sz w:val="24"/>
                <w:lang w:val="en-US"/>
              </w:rPr>
              <w:t>60</w:t>
            </w:r>
          </w:p>
        </w:tc>
        <w:tc>
          <w:tcPr>
            <w:tcW w:w="2145"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9519" w:type="dxa"/>
            <w:gridSpan w:val="7"/>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color w:val="auto"/>
                <w:sz w:val="21"/>
                <w:lang w:val="zh-CN"/>
              </w:rPr>
              <w:t>说明：该指标是指调查确定的</w:t>
            </w:r>
            <w:r>
              <w:rPr>
                <w:rFonts w:hint="default" w:ascii="Times New Roman" w:hAnsi="Times New Roman" w:eastAsia="Times New Roman"/>
                <w:color w:val="auto"/>
                <w:sz w:val="21"/>
                <w:lang w:val="en-US"/>
              </w:rPr>
              <w:t>18</w:t>
            </w:r>
            <w:r>
              <w:rPr>
                <w:rFonts w:hint="eastAsia" w:ascii="宋体" w:hAnsi="宋体"/>
                <w:color w:val="auto"/>
                <w:sz w:val="21"/>
                <w:lang w:val="zh-CN"/>
              </w:rPr>
              <w:t>岁及以上糖尿病人群中，在测量血糖之前即知道自己患有糖尿病者（经过有资质的医疗机构或医生诊断）所占比例。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103</w:t>
            </w:r>
          </w:p>
        </w:tc>
        <w:tc>
          <w:tcPr>
            <w:tcW w:w="3458"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b/>
                <w:color w:val="auto"/>
                <w:sz w:val="24"/>
                <w:lang w:val="zh-CN"/>
              </w:rPr>
              <w:t>糖尿病患者规范管理率（</w:t>
            </w:r>
            <w:r>
              <w:rPr>
                <w:rFonts w:hint="default" w:ascii="Times New Roman" w:hAnsi="Times New Roman" w:eastAsia="Times New Roman"/>
                <w:b/>
                <w:color w:val="auto"/>
                <w:sz w:val="24"/>
                <w:lang w:val="en-US"/>
              </w:rPr>
              <w:t>%</w:t>
            </w:r>
            <w:r>
              <w:rPr>
                <w:rFonts w:hint="eastAsia" w:ascii="宋体" w:hAnsi="宋体"/>
                <w:b/>
                <w:color w:val="auto"/>
                <w:sz w:val="24"/>
                <w:lang w:val="zh-CN"/>
              </w:rPr>
              <w:t>）</w:t>
            </w:r>
          </w:p>
        </w:tc>
        <w:tc>
          <w:tcPr>
            <w:tcW w:w="2262"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2015</w:t>
            </w:r>
            <w:r>
              <w:rPr>
                <w:rFonts w:hint="eastAsia" w:ascii="宋体" w:hAnsi="宋体"/>
                <w:color w:val="auto"/>
                <w:sz w:val="24"/>
                <w:lang w:val="zh-CN"/>
              </w:rPr>
              <w:t>年为</w:t>
            </w:r>
            <w:r>
              <w:rPr>
                <w:rFonts w:hint="default" w:ascii="Times New Roman" w:hAnsi="Times New Roman" w:eastAsia="Times New Roman"/>
                <w:color w:val="auto"/>
                <w:sz w:val="24"/>
                <w:lang w:val="en-US"/>
              </w:rPr>
              <w:t>50</w:t>
            </w:r>
          </w:p>
        </w:tc>
        <w:tc>
          <w:tcPr>
            <w:tcW w:w="851"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w:t>
            </w:r>
            <w:r>
              <w:rPr>
                <w:rFonts w:hint="default" w:ascii="Times New Roman" w:hAnsi="Times New Roman" w:eastAsia="Times New Roman"/>
                <w:color w:val="auto"/>
                <w:sz w:val="24"/>
                <w:lang w:val="en-US"/>
              </w:rPr>
              <w:t>60</w:t>
            </w:r>
          </w:p>
        </w:tc>
        <w:tc>
          <w:tcPr>
            <w:tcW w:w="803"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w:t>
            </w:r>
            <w:r>
              <w:rPr>
                <w:rFonts w:hint="default" w:ascii="Times New Roman" w:hAnsi="Times New Roman" w:eastAsia="Times New Roman"/>
                <w:color w:val="auto"/>
                <w:sz w:val="24"/>
                <w:lang w:val="en-US"/>
              </w:rPr>
              <w:t>70</w:t>
            </w:r>
          </w:p>
        </w:tc>
        <w:tc>
          <w:tcPr>
            <w:tcW w:w="2145"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9519" w:type="dxa"/>
            <w:gridSpan w:val="7"/>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color w:val="auto"/>
                <w:sz w:val="21"/>
                <w:lang w:val="zh-CN"/>
              </w:rPr>
              <w:t>说明：按照国家基本公共卫生服务规范要求进行糖尿病患者健康管理的人数占年内已管理的糖尿病患者人数的比例。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104</w:t>
            </w:r>
          </w:p>
        </w:tc>
        <w:tc>
          <w:tcPr>
            <w:tcW w:w="3458"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b/>
                <w:color w:val="auto"/>
                <w:sz w:val="24"/>
                <w:lang w:val="zh-CN"/>
              </w:rPr>
              <w:t>糖尿病治疗率（</w:t>
            </w:r>
            <w:r>
              <w:rPr>
                <w:rFonts w:hint="default" w:ascii="Times New Roman" w:hAnsi="Times New Roman" w:eastAsia="Times New Roman"/>
                <w:b/>
                <w:color w:val="auto"/>
                <w:sz w:val="24"/>
                <w:lang w:val="en-US"/>
              </w:rPr>
              <w:t>%</w:t>
            </w:r>
            <w:r>
              <w:rPr>
                <w:rFonts w:hint="eastAsia" w:ascii="宋体" w:hAnsi="宋体"/>
                <w:b/>
                <w:color w:val="auto"/>
                <w:sz w:val="24"/>
                <w:lang w:val="zh-CN"/>
              </w:rPr>
              <w:t>）</w:t>
            </w:r>
          </w:p>
        </w:tc>
        <w:tc>
          <w:tcPr>
            <w:tcW w:w="2262"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2012</w:t>
            </w:r>
            <w:r>
              <w:rPr>
                <w:rFonts w:hint="eastAsia" w:ascii="宋体" w:hAnsi="宋体"/>
                <w:color w:val="auto"/>
                <w:sz w:val="24"/>
                <w:lang w:val="zh-CN"/>
              </w:rPr>
              <w:t>年为</w:t>
            </w:r>
            <w:r>
              <w:rPr>
                <w:rFonts w:hint="default" w:ascii="Times New Roman" w:hAnsi="Times New Roman" w:eastAsia="Times New Roman"/>
                <w:color w:val="auto"/>
                <w:sz w:val="24"/>
                <w:lang w:val="en-US"/>
              </w:rPr>
              <w:t>33.4</w:t>
            </w:r>
          </w:p>
        </w:tc>
        <w:tc>
          <w:tcPr>
            <w:tcW w:w="1654"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持续提高</w:t>
            </w:r>
          </w:p>
        </w:tc>
        <w:tc>
          <w:tcPr>
            <w:tcW w:w="2145"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9519" w:type="dxa"/>
            <w:gridSpan w:val="7"/>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default" w:ascii="Times New Roman" w:hAnsi="Times New Roman" w:eastAsia="Times New Roman"/>
                <w:color w:val="auto"/>
                <w:sz w:val="21"/>
                <w:lang w:val="en-US"/>
              </w:rPr>
            </w:pPr>
            <w:r>
              <w:rPr>
                <w:rFonts w:hint="eastAsia" w:ascii="宋体" w:hAnsi="宋体"/>
                <w:color w:val="auto"/>
                <w:sz w:val="21"/>
                <w:lang w:val="zh-CN"/>
              </w:rPr>
              <w:t>说明：调查的</w:t>
            </w:r>
            <w:r>
              <w:rPr>
                <w:rFonts w:hint="default" w:ascii="Times New Roman" w:hAnsi="Times New Roman" w:eastAsia="Times New Roman"/>
                <w:color w:val="auto"/>
                <w:sz w:val="21"/>
                <w:lang w:val="en-US"/>
              </w:rPr>
              <w:t>18</w:t>
            </w:r>
            <w:r>
              <w:rPr>
                <w:rFonts w:hint="eastAsia" w:ascii="宋体" w:hAnsi="宋体"/>
                <w:color w:val="auto"/>
                <w:sz w:val="21"/>
                <w:lang w:val="zh-CN"/>
              </w:rPr>
              <w:t>岁及以上糖尿病人群中，采取控制和治疗措施（包括生活方式改变和（或）药物）者所占的比例。</w:t>
            </w:r>
          </w:p>
          <w:p>
            <w:pPr>
              <w:spacing w:beforeLines="0" w:afterLines="0"/>
              <w:rPr>
                <w:rFonts w:hint="eastAsia" w:ascii="宋体" w:hAnsi="宋体"/>
                <w:color w:val="auto"/>
                <w:sz w:val="22"/>
                <w:lang w:val="zh-CN"/>
              </w:rPr>
            </w:pPr>
            <w:r>
              <w:rPr>
                <w:rFonts w:hint="eastAsia" w:ascii="宋体" w:hAnsi="宋体"/>
                <w:color w:val="auto"/>
                <w:sz w:val="21"/>
                <w:lang w:val="zh-CN"/>
              </w:rPr>
              <w:t>计算方法：采取控制和治疗措施（包括生活方式改变和（或）药物）者</w:t>
            </w:r>
            <w:r>
              <w:rPr>
                <w:rFonts w:hint="default" w:ascii="Times New Roman" w:hAnsi="Times New Roman" w:eastAsia="Times New Roman"/>
                <w:color w:val="auto"/>
                <w:sz w:val="21"/>
                <w:lang w:val="en-US"/>
              </w:rPr>
              <w:t>/</w:t>
            </w:r>
            <w:r>
              <w:rPr>
                <w:rFonts w:hint="eastAsia" w:ascii="宋体" w:hAnsi="宋体"/>
                <w:color w:val="auto"/>
                <w:sz w:val="21"/>
                <w:lang w:val="zh-CN"/>
              </w:rPr>
              <w:t>调查确定的糖尿病人群患者数×</w:t>
            </w:r>
            <w:r>
              <w:rPr>
                <w:rFonts w:hint="default" w:ascii="Times New Roman" w:hAnsi="Times New Roman" w:eastAsia="Times New Roman"/>
                <w:color w:val="auto"/>
                <w:sz w:val="21"/>
                <w:lang w:val="en-US"/>
              </w:rPr>
              <w:t>100%</w:t>
            </w:r>
            <w:r>
              <w:rPr>
                <w:rFonts w:hint="eastAsia" w:ascii="宋体" w:hAnsi="宋体"/>
                <w:color w:val="auto"/>
                <w:sz w:val="21"/>
                <w:lang w:val="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105</w:t>
            </w:r>
          </w:p>
        </w:tc>
        <w:tc>
          <w:tcPr>
            <w:tcW w:w="3458"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b/>
                <w:color w:val="auto"/>
                <w:sz w:val="24"/>
                <w:lang w:val="zh-CN"/>
              </w:rPr>
              <w:t>糖尿病控制率（</w:t>
            </w:r>
            <w:r>
              <w:rPr>
                <w:rFonts w:hint="default" w:ascii="Times New Roman" w:hAnsi="Times New Roman" w:eastAsia="Times New Roman"/>
                <w:b/>
                <w:color w:val="auto"/>
                <w:sz w:val="24"/>
                <w:lang w:val="en-US"/>
              </w:rPr>
              <w:t>%</w:t>
            </w:r>
            <w:r>
              <w:rPr>
                <w:rFonts w:hint="eastAsia" w:ascii="宋体" w:hAnsi="宋体"/>
                <w:b/>
                <w:color w:val="auto"/>
                <w:sz w:val="24"/>
                <w:lang w:val="zh-CN"/>
              </w:rPr>
              <w:t>）</w:t>
            </w:r>
          </w:p>
        </w:tc>
        <w:tc>
          <w:tcPr>
            <w:tcW w:w="2262"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2012</w:t>
            </w:r>
            <w:r>
              <w:rPr>
                <w:rFonts w:hint="eastAsia" w:ascii="宋体" w:hAnsi="宋体"/>
                <w:color w:val="auto"/>
                <w:sz w:val="24"/>
                <w:lang w:val="zh-CN"/>
              </w:rPr>
              <w:t>年为</w:t>
            </w:r>
            <w:r>
              <w:rPr>
                <w:rFonts w:hint="default" w:ascii="Times New Roman" w:hAnsi="Times New Roman" w:eastAsia="Times New Roman"/>
                <w:color w:val="auto"/>
                <w:sz w:val="24"/>
                <w:lang w:val="en-US"/>
              </w:rPr>
              <w:t>30.6</w:t>
            </w:r>
          </w:p>
        </w:tc>
        <w:tc>
          <w:tcPr>
            <w:tcW w:w="1654"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持续提高</w:t>
            </w:r>
          </w:p>
        </w:tc>
        <w:tc>
          <w:tcPr>
            <w:tcW w:w="2145"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9519" w:type="dxa"/>
            <w:gridSpan w:val="7"/>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color w:val="auto"/>
                <w:sz w:val="21"/>
                <w:lang w:val="zh-CN"/>
              </w:rPr>
              <w:t>说明：调查的</w:t>
            </w:r>
            <w:r>
              <w:rPr>
                <w:rFonts w:hint="default" w:ascii="Times New Roman" w:hAnsi="Times New Roman" w:eastAsia="Times New Roman"/>
                <w:color w:val="auto"/>
                <w:sz w:val="21"/>
                <w:lang w:val="en-US"/>
              </w:rPr>
              <w:t>18</w:t>
            </w:r>
            <w:r>
              <w:rPr>
                <w:rFonts w:hint="eastAsia" w:ascii="宋体" w:hAnsi="宋体"/>
                <w:color w:val="auto"/>
                <w:sz w:val="21"/>
                <w:lang w:val="zh-CN"/>
              </w:rPr>
              <w:t>岁及以上糖尿病人群中，空腹血糖控制在</w:t>
            </w:r>
            <w:r>
              <w:rPr>
                <w:rFonts w:hint="default" w:ascii="Times New Roman" w:hAnsi="Times New Roman" w:eastAsia="Times New Roman"/>
                <w:color w:val="auto"/>
                <w:sz w:val="21"/>
                <w:lang w:val="en-US"/>
              </w:rPr>
              <w:t>7.0mmol/L</w:t>
            </w:r>
            <w:r>
              <w:rPr>
                <w:rFonts w:hint="eastAsia" w:ascii="宋体" w:hAnsi="宋体"/>
                <w:color w:val="auto"/>
                <w:sz w:val="21"/>
                <w:lang w:val="zh-CN"/>
              </w:rPr>
              <w:t>及以下或糖化血红蛋白控制在</w:t>
            </w:r>
            <w:r>
              <w:rPr>
                <w:rFonts w:hint="default" w:ascii="Times New Roman" w:hAnsi="Times New Roman" w:eastAsia="Times New Roman"/>
                <w:color w:val="auto"/>
                <w:sz w:val="21"/>
                <w:lang w:val="en-US"/>
              </w:rPr>
              <w:t>7%</w:t>
            </w:r>
            <w:r>
              <w:rPr>
                <w:rFonts w:hint="eastAsia" w:ascii="宋体" w:hAnsi="宋体"/>
                <w:color w:val="auto"/>
                <w:sz w:val="21"/>
                <w:lang w:val="zh-CN"/>
              </w:rPr>
              <w:t>及以下者所占的比例。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4"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106</w:t>
            </w:r>
          </w:p>
        </w:tc>
        <w:tc>
          <w:tcPr>
            <w:tcW w:w="3458"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b/>
                <w:color w:val="auto"/>
                <w:sz w:val="24"/>
                <w:lang w:val="zh-CN"/>
              </w:rPr>
              <w:t>癌症防治核心知识知晓率（</w:t>
            </w:r>
            <w:r>
              <w:rPr>
                <w:rFonts w:hint="default" w:ascii="Times New Roman" w:hAnsi="Times New Roman" w:eastAsia="Times New Roman"/>
                <w:b/>
                <w:color w:val="auto"/>
                <w:sz w:val="24"/>
                <w:lang w:val="en-US"/>
              </w:rPr>
              <w:t>%</w:t>
            </w:r>
            <w:r>
              <w:rPr>
                <w:rFonts w:hint="eastAsia" w:ascii="宋体" w:hAnsi="宋体"/>
                <w:b/>
                <w:color w:val="auto"/>
                <w:sz w:val="24"/>
                <w:lang w:val="zh-CN"/>
              </w:rPr>
              <w:t>）</w:t>
            </w:r>
          </w:p>
        </w:tc>
        <w:tc>
          <w:tcPr>
            <w:tcW w:w="2262"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66.4</w:t>
            </w:r>
          </w:p>
        </w:tc>
        <w:tc>
          <w:tcPr>
            <w:tcW w:w="851"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w:t>
            </w:r>
            <w:r>
              <w:rPr>
                <w:rFonts w:hint="default" w:ascii="Times New Roman" w:hAnsi="Times New Roman" w:eastAsia="Times New Roman"/>
                <w:color w:val="auto"/>
                <w:sz w:val="24"/>
                <w:lang w:val="en-US"/>
              </w:rPr>
              <w:t>70</w:t>
            </w:r>
          </w:p>
        </w:tc>
        <w:tc>
          <w:tcPr>
            <w:tcW w:w="1898"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w:t>
            </w:r>
            <w:r>
              <w:rPr>
                <w:rFonts w:hint="default" w:ascii="Times New Roman" w:hAnsi="Times New Roman" w:eastAsia="Times New Roman"/>
                <w:color w:val="auto"/>
                <w:sz w:val="24"/>
                <w:lang w:val="en-US"/>
              </w:rPr>
              <w:t>80</w:t>
            </w:r>
          </w:p>
        </w:tc>
        <w:tc>
          <w:tcPr>
            <w:tcW w:w="105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107</w:t>
            </w:r>
          </w:p>
        </w:tc>
        <w:tc>
          <w:tcPr>
            <w:tcW w:w="3458"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b/>
                <w:color w:val="auto"/>
                <w:sz w:val="24"/>
                <w:lang w:val="zh-CN"/>
              </w:rPr>
              <w:t>高发地区重点癌种早诊率（</w:t>
            </w:r>
            <w:r>
              <w:rPr>
                <w:rFonts w:hint="default" w:ascii="Times New Roman" w:hAnsi="Times New Roman" w:eastAsia="Times New Roman"/>
                <w:b/>
                <w:color w:val="auto"/>
                <w:sz w:val="24"/>
                <w:lang w:val="en-US"/>
              </w:rPr>
              <w:t>%</w:t>
            </w:r>
            <w:r>
              <w:rPr>
                <w:rFonts w:hint="eastAsia" w:ascii="宋体" w:hAnsi="宋体"/>
                <w:b/>
                <w:color w:val="auto"/>
                <w:sz w:val="24"/>
                <w:lang w:val="zh-CN"/>
              </w:rPr>
              <w:t>）</w:t>
            </w:r>
          </w:p>
        </w:tc>
        <w:tc>
          <w:tcPr>
            <w:tcW w:w="2262"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2015</w:t>
            </w:r>
            <w:r>
              <w:rPr>
                <w:rFonts w:hint="eastAsia" w:ascii="宋体" w:hAnsi="宋体"/>
                <w:color w:val="auto"/>
                <w:sz w:val="24"/>
                <w:lang w:val="zh-CN"/>
              </w:rPr>
              <w:t>年为</w:t>
            </w:r>
            <w:r>
              <w:rPr>
                <w:rFonts w:hint="default" w:ascii="Times New Roman" w:hAnsi="Times New Roman" w:eastAsia="Times New Roman"/>
                <w:color w:val="auto"/>
                <w:sz w:val="24"/>
                <w:lang w:val="en-US"/>
              </w:rPr>
              <w:t>48</w:t>
            </w:r>
          </w:p>
        </w:tc>
        <w:tc>
          <w:tcPr>
            <w:tcW w:w="851"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w:t>
            </w:r>
            <w:r>
              <w:rPr>
                <w:rFonts w:hint="default" w:ascii="Times New Roman" w:hAnsi="Times New Roman" w:eastAsia="Times New Roman"/>
                <w:color w:val="auto"/>
                <w:sz w:val="24"/>
                <w:lang w:val="en-US"/>
              </w:rPr>
              <w:t>55</w:t>
            </w:r>
          </w:p>
        </w:tc>
        <w:tc>
          <w:tcPr>
            <w:tcW w:w="1898"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持续</w:t>
            </w:r>
          </w:p>
          <w:p>
            <w:pPr>
              <w:spacing w:beforeLines="0" w:afterLines="0"/>
              <w:jc w:val="center"/>
              <w:rPr>
                <w:rFonts w:hint="eastAsia" w:ascii="宋体" w:hAnsi="宋体"/>
                <w:color w:val="auto"/>
                <w:sz w:val="22"/>
                <w:lang w:val="zh-CN"/>
              </w:rPr>
            </w:pPr>
            <w:r>
              <w:rPr>
                <w:rFonts w:hint="eastAsia" w:ascii="宋体" w:hAnsi="宋体"/>
                <w:color w:val="auto"/>
                <w:sz w:val="24"/>
                <w:lang w:val="zh-CN"/>
              </w:rPr>
              <w:t>提高</w:t>
            </w:r>
          </w:p>
        </w:tc>
        <w:tc>
          <w:tcPr>
            <w:tcW w:w="105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9519" w:type="dxa"/>
            <w:gridSpan w:val="7"/>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default" w:ascii="Times New Roman" w:hAnsi="Times New Roman" w:eastAsia="Times New Roman"/>
                <w:color w:val="auto"/>
                <w:sz w:val="21"/>
                <w:lang w:val="en-US"/>
              </w:rPr>
            </w:pPr>
            <w:r>
              <w:rPr>
                <w:rFonts w:hint="eastAsia" w:ascii="宋体" w:hAnsi="宋体"/>
                <w:color w:val="auto"/>
                <w:sz w:val="21"/>
                <w:lang w:val="zh-CN"/>
              </w:rPr>
              <w:t>说明：高发地区主要指癌症早诊早治项目覆盖的项目地区；重点癌种是指肺癌、肝癌、胃癌、食管癌、大肠癌、乳腺癌、宫颈癌；该指标是指发现的癌症患者中患早期癌的比例。</w:t>
            </w:r>
          </w:p>
          <w:p>
            <w:pPr>
              <w:spacing w:beforeLines="0" w:afterLines="0"/>
              <w:rPr>
                <w:rFonts w:hint="eastAsia" w:ascii="宋体" w:hAnsi="宋体"/>
                <w:color w:val="auto"/>
                <w:sz w:val="22"/>
                <w:lang w:val="zh-CN"/>
              </w:rPr>
            </w:pPr>
            <w:r>
              <w:rPr>
                <w:rFonts w:hint="eastAsia" w:ascii="宋体" w:hAnsi="宋体"/>
                <w:color w:val="auto"/>
                <w:sz w:val="21"/>
                <w:lang w:val="zh-CN"/>
              </w:rPr>
              <w:t>计算方法：高发地区所有重点癌症筛查发现的癌症患者中患早期癌的例数</w:t>
            </w:r>
            <w:r>
              <w:rPr>
                <w:rFonts w:hint="default" w:ascii="Times New Roman" w:hAnsi="Times New Roman" w:eastAsia="Times New Roman"/>
                <w:color w:val="auto"/>
                <w:sz w:val="21"/>
                <w:lang w:val="en-US"/>
              </w:rPr>
              <w:t>/</w:t>
            </w:r>
            <w:r>
              <w:rPr>
                <w:rFonts w:hint="eastAsia" w:ascii="宋体" w:hAnsi="宋体"/>
                <w:color w:val="auto"/>
                <w:sz w:val="21"/>
                <w:lang w:val="zh-CN"/>
              </w:rPr>
              <w:t>筛查发现的患者总人数×</w:t>
            </w:r>
            <w:r>
              <w:rPr>
                <w:rFonts w:hint="default" w:ascii="Times New Roman" w:hAnsi="Times New Roman" w:eastAsia="Times New Roman"/>
                <w:color w:val="auto"/>
                <w:sz w:val="21"/>
                <w:lang w:val="en-US"/>
              </w:rPr>
              <w:t>100%</w:t>
            </w:r>
            <w:r>
              <w:rPr>
                <w:rFonts w:hint="eastAsia" w:ascii="宋体" w:hAnsi="宋体"/>
                <w:color w:val="auto"/>
                <w:sz w:val="21"/>
                <w:lang w:val="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76"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108</w:t>
            </w:r>
          </w:p>
        </w:tc>
        <w:tc>
          <w:tcPr>
            <w:tcW w:w="4444"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b/>
                <w:color w:val="auto"/>
                <w:sz w:val="24"/>
                <w:lang w:val="zh-CN"/>
              </w:rPr>
              <w:t>乡镇卫生院、社区卫生服务中心提供中医非药物疗法的比例（</w:t>
            </w:r>
            <w:r>
              <w:rPr>
                <w:rFonts w:hint="default" w:ascii="Times New Roman" w:hAnsi="Times New Roman" w:eastAsia="Times New Roman"/>
                <w:b/>
                <w:color w:val="auto"/>
                <w:sz w:val="24"/>
                <w:lang w:val="en-US"/>
              </w:rPr>
              <w:t>%</w:t>
            </w:r>
            <w:r>
              <w:rPr>
                <w:rFonts w:hint="eastAsia" w:ascii="宋体" w:hAnsi="宋体"/>
                <w:b/>
                <w:color w:val="auto"/>
                <w:sz w:val="24"/>
                <w:lang w:val="zh-CN"/>
              </w:rPr>
              <w:t>），村卫生室提供中医非药物疗法的比例（</w:t>
            </w:r>
            <w:r>
              <w:rPr>
                <w:rFonts w:hint="default" w:ascii="Times New Roman" w:hAnsi="Times New Roman" w:eastAsia="Times New Roman"/>
                <w:b/>
                <w:color w:val="auto"/>
                <w:sz w:val="24"/>
                <w:lang w:val="en-US"/>
              </w:rPr>
              <w:t>%</w:t>
            </w:r>
            <w:r>
              <w:rPr>
                <w:rFonts w:hint="eastAsia" w:ascii="宋体" w:hAnsi="宋体"/>
                <w:b/>
                <w:color w:val="auto"/>
                <w:sz w:val="24"/>
                <w:lang w:val="zh-CN"/>
              </w:rPr>
              <w:t>）</w:t>
            </w:r>
          </w:p>
        </w:tc>
        <w:tc>
          <w:tcPr>
            <w:tcW w:w="1276"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宋体" w:hAnsi="宋体"/>
                <w:color w:val="auto"/>
                <w:sz w:val="24"/>
                <w:lang w:val="zh-CN"/>
              </w:rPr>
              <w:t>—</w:t>
            </w:r>
          </w:p>
        </w:tc>
        <w:tc>
          <w:tcPr>
            <w:tcW w:w="851"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default" w:ascii="Times New Roman" w:hAnsi="Times New Roman" w:eastAsia="Times New Roman"/>
                <w:color w:val="auto"/>
                <w:sz w:val="24"/>
                <w:lang w:val="en-US"/>
              </w:rPr>
            </w:pPr>
            <w:r>
              <w:rPr>
                <w:rFonts w:hint="default" w:ascii="Times New Roman" w:hAnsi="Times New Roman" w:eastAsia="Times New Roman"/>
                <w:color w:val="auto"/>
                <w:sz w:val="24"/>
                <w:lang w:val="en-US"/>
              </w:rPr>
              <w:t>100</w:t>
            </w:r>
          </w:p>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70</w:t>
            </w:r>
          </w:p>
        </w:tc>
        <w:tc>
          <w:tcPr>
            <w:tcW w:w="1898"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default" w:ascii="Times New Roman" w:hAnsi="Times New Roman" w:eastAsia="Times New Roman"/>
                <w:color w:val="auto"/>
                <w:sz w:val="24"/>
                <w:lang w:val="en-US"/>
              </w:rPr>
            </w:pPr>
            <w:r>
              <w:rPr>
                <w:rFonts w:hint="default" w:ascii="Times New Roman" w:hAnsi="Times New Roman" w:eastAsia="Times New Roman"/>
                <w:color w:val="auto"/>
                <w:sz w:val="24"/>
                <w:lang w:val="en-US"/>
              </w:rPr>
              <w:t>100</w:t>
            </w:r>
          </w:p>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80</w:t>
            </w:r>
          </w:p>
        </w:tc>
        <w:tc>
          <w:tcPr>
            <w:tcW w:w="105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13"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109</w:t>
            </w:r>
          </w:p>
        </w:tc>
        <w:tc>
          <w:tcPr>
            <w:tcW w:w="3458"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b/>
                <w:color w:val="auto"/>
                <w:sz w:val="24"/>
                <w:lang w:val="zh-CN"/>
              </w:rPr>
              <w:t>鼓励开展群众性应急救护培训，取得培训证书的居民比例（</w:t>
            </w:r>
            <w:r>
              <w:rPr>
                <w:rFonts w:hint="default" w:ascii="Times New Roman" w:hAnsi="Times New Roman" w:eastAsia="Times New Roman"/>
                <w:b/>
                <w:color w:val="auto"/>
                <w:sz w:val="24"/>
                <w:lang w:val="en-US"/>
              </w:rPr>
              <w:t>%</w:t>
            </w:r>
            <w:r>
              <w:rPr>
                <w:rFonts w:hint="eastAsia" w:ascii="宋体" w:hAnsi="宋体"/>
                <w:b/>
                <w:color w:val="auto"/>
                <w:sz w:val="24"/>
                <w:lang w:val="zh-CN"/>
              </w:rPr>
              <w:t>）</w:t>
            </w:r>
          </w:p>
        </w:tc>
        <w:tc>
          <w:tcPr>
            <w:tcW w:w="2262"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宋体" w:hAnsi="宋体"/>
                <w:color w:val="auto"/>
                <w:sz w:val="24"/>
                <w:lang w:val="zh-CN"/>
              </w:rPr>
              <w:t>—</w:t>
            </w:r>
          </w:p>
        </w:tc>
        <w:tc>
          <w:tcPr>
            <w:tcW w:w="851"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w:t>
            </w:r>
            <w:r>
              <w:rPr>
                <w:rFonts w:hint="default" w:ascii="Times New Roman" w:hAnsi="Times New Roman" w:eastAsia="Times New Roman"/>
                <w:color w:val="auto"/>
                <w:sz w:val="24"/>
                <w:lang w:val="en-US"/>
              </w:rPr>
              <w:t>1</w:t>
            </w:r>
          </w:p>
        </w:tc>
        <w:tc>
          <w:tcPr>
            <w:tcW w:w="1898"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w:t>
            </w:r>
            <w:r>
              <w:rPr>
                <w:rFonts w:hint="default" w:ascii="Times New Roman" w:hAnsi="Times New Roman" w:eastAsia="Times New Roman"/>
                <w:color w:val="auto"/>
                <w:sz w:val="24"/>
                <w:lang w:val="en-US"/>
              </w:rPr>
              <w:t>3</w:t>
            </w:r>
          </w:p>
        </w:tc>
        <w:tc>
          <w:tcPr>
            <w:tcW w:w="105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9"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9519" w:type="dxa"/>
            <w:gridSpan w:val="7"/>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color w:val="auto"/>
                <w:sz w:val="21"/>
                <w:lang w:val="zh-CN"/>
              </w:rPr>
              <w:t>说明：依托红十字会等社会组织和急救中心等医疗机构开展心肺复苏、止血包扎等应急救护培训，合格者颁发相应资格证书。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1"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110</w:t>
            </w:r>
          </w:p>
        </w:tc>
        <w:tc>
          <w:tcPr>
            <w:tcW w:w="3458"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default" w:ascii="Times New Roman" w:hAnsi="Times New Roman" w:eastAsia="Times New Roman"/>
                <w:b/>
                <w:color w:val="auto"/>
                <w:sz w:val="24"/>
                <w:lang w:val="en-US"/>
              </w:rPr>
              <w:t>40</w:t>
            </w:r>
            <w:r>
              <w:rPr>
                <w:rFonts w:hint="eastAsia" w:ascii="宋体" w:hAnsi="宋体"/>
                <w:b/>
                <w:color w:val="auto"/>
                <w:sz w:val="24"/>
                <w:lang w:val="zh-CN"/>
              </w:rPr>
              <w:t>岁及以上居民慢阻肺知晓率（</w:t>
            </w:r>
            <w:r>
              <w:rPr>
                <w:rFonts w:hint="default" w:ascii="Times New Roman" w:hAnsi="Times New Roman" w:eastAsia="Times New Roman"/>
                <w:b/>
                <w:color w:val="auto"/>
                <w:sz w:val="24"/>
                <w:lang w:val="en-US"/>
              </w:rPr>
              <w:t>%</w:t>
            </w:r>
            <w:r>
              <w:rPr>
                <w:rFonts w:hint="eastAsia" w:ascii="宋体" w:hAnsi="宋体"/>
                <w:b/>
                <w:color w:val="auto"/>
                <w:sz w:val="24"/>
                <w:lang w:val="zh-CN"/>
              </w:rPr>
              <w:t>）</w:t>
            </w:r>
          </w:p>
        </w:tc>
        <w:tc>
          <w:tcPr>
            <w:tcW w:w="2262"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2012</w:t>
            </w:r>
            <w:r>
              <w:rPr>
                <w:rFonts w:hint="eastAsia" w:ascii="宋体" w:hAnsi="宋体"/>
                <w:color w:val="auto"/>
                <w:sz w:val="24"/>
                <w:lang w:val="zh-CN"/>
              </w:rPr>
              <w:t>年为</w:t>
            </w:r>
            <w:r>
              <w:rPr>
                <w:rFonts w:hint="default" w:ascii="Times New Roman" w:hAnsi="Times New Roman" w:eastAsia="Times New Roman"/>
                <w:color w:val="auto"/>
                <w:sz w:val="24"/>
                <w:lang w:val="en-US"/>
              </w:rPr>
              <w:t>2.6</w:t>
            </w:r>
          </w:p>
        </w:tc>
        <w:tc>
          <w:tcPr>
            <w:tcW w:w="851"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w:t>
            </w:r>
            <w:r>
              <w:rPr>
                <w:rFonts w:hint="default" w:ascii="Times New Roman" w:hAnsi="Times New Roman" w:eastAsia="Times New Roman"/>
                <w:color w:val="auto"/>
                <w:sz w:val="24"/>
                <w:lang w:val="en-US"/>
              </w:rPr>
              <w:t>15</w:t>
            </w:r>
          </w:p>
        </w:tc>
        <w:tc>
          <w:tcPr>
            <w:tcW w:w="1898"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w:t>
            </w:r>
            <w:r>
              <w:rPr>
                <w:rFonts w:hint="default" w:ascii="Times New Roman" w:hAnsi="Times New Roman" w:eastAsia="Times New Roman"/>
                <w:color w:val="auto"/>
                <w:sz w:val="24"/>
                <w:lang w:val="en-US"/>
              </w:rPr>
              <w:t>30</w:t>
            </w:r>
          </w:p>
        </w:tc>
        <w:tc>
          <w:tcPr>
            <w:tcW w:w="105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5"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9519" w:type="dxa"/>
            <w:gridSpan w:val="7"/>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left"/>
              <w:rPr>
                <w:rFonts w:hint="eastAsia" w:ascii="宋体" w:hAnsi="宋体"/>
                <w:color w:val="auto"/>
                <w:sz w:val="22"/>
                <w:lang w:val="zh-CN"/>
              </w:rPr>
            </w:pPr>
            <w:r>
              <w:rPr>
                <w:rFonts w:hint="eastAsia" w:ascii="宋体" w:hAnsi="宋体"/>
                <w:color w:val="auto"/>
                <w:sz w:val="21"/>
                <w:lang w:val="zh-CN"/>
              </w:rPr>
              <w:t>说明：该指标是指调查确定的</w:t>
            </w:r>
            <w:r>
              <w:rPr>
                <w:rFonts w:hint="default" w:ascii="Times New Roman" w:hAnsi="Times New Roman" w:eastAsia="Times New Roman"/>
                <w:color w:val="auto"/>
                <w:sz w:val="21"/>
                <w:lang w:val="en-US"/>
              </w:rPr>
              <w:t>40</w:t>
            </w:r>
            <w:r>
              <w:rPr>
                <w:rFonts w:hint="eastAsia" w:ascii="宋体" w:hAnsi="宋体"/>
                <w:color w:val="auto"/>
                <w:sz w:val="21"/>
                <w:lang w:val="zh-CN"/>
              </w:rPr>
              <w:t>岁及以上慢阻肺人群中，在测量肺功能之前即知道自己患有慢阻肺者（经过有资质的医疗机构或医生诊断）所占比例。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default" w:ascii="Times New Roman" w:hAnsi="Times New Roman" w:eastAsia="Times New Roman"/>
                <w:color w:val="auto"/>
                <w:spacing w:val="-8"/>
                <w:sz w:val="24"/>
                <w:lang w:val="en-US"/>
              </w:rPr>
            </w:pPr>
          </w:p>
          <w:p>
            <w:pPr>
              <w:spacing w:beforeLines="0" w:afterLines="0"/>
              <w:jc w:val="center"/>
              <w:rPr>
                <w:rFonts w:hint="default" w:ascii="Times New Roman" w:hAnsi="Times New Roman" w:eastAsia="Times New Roman"/>
                <w:color w:val="auto"/>
                <w:spacing w:val="-8"/>
                <w:sz w:val="24"/>
                <w:lang w:val="en-US"/>
              </w:rPr>
            </w:pPr>
            <w:r>
              <w:rPr>
                <w:rFonts w:hint="eastAsia" w:ascii="宋体" w:hAnsi="宋体"/>
                <w:color w:val="auto"/>
                <w:spacing w:val="-8"/>
                <w:sz w:val="24"/>
                <w:lang w:val="zh-CN"/>
              </w:rPr>
              <w:t>（十五）</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传</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染</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病</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及</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地</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方</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病</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防</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控</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行</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动</w:t>
            </w:r>
          </w:p>
          <w:p>
            <w:pPr>
              <w:spacing w:beforeLines="0" w:afterLines="0"/>
              <w:jc w:val="center"/>
              <w:rPr>
                <w:rFonts w:hint="default" w:ascii="Times New Roman" w:hAnsi="Times New Roman" w:eastAsia="Times New Roman"/>
                <w:color w:val="auto"/>
                <w:spacing w:val="-8"/>
                <w:sz w:val="24"/>
                <w:lang w:val="en-US"/>
              </w:rPr>
            </w:pPr>
          </w:p>
          <w:p>
            <w:pPr>
              <w:spacing w:beforeLines="0" w:afterLines="0"/>
              <w:jc w:val="center"/>
              <w:rPr>
                <w:rFonts w:hint="default" w:ascii="Times New Roman" w:hAnsi="Times New Roman" w:eastAsia="Times New Roman"/>
                <w:color w:val="auto"/>
                <w:spacing w:val="-8"/>
                <w:sz w:val="24"/>
                <w:lang w:val="en-US"/>
              </w:rPr>
            </w:pPr>
          </w:p>
          <w:p>
            <w:pPr>
              <w:spacing w:beforeLines="0" w:afterLines="0"/>
              <w:jc w:val="center"/>
              <w:rPr>
                <w:rFonts w:hint="default" w:ascii="Times New Roman" w:hAnsi="Times New Roman" w:eastAsia="Times New Roman"/>
                <w:color w:val="auto"/>
                <w:spacing w:val="-8"/>
                <w:sz w:val="24"/>
                <w:lang w:val="en-US"/>
              </w:rPr>
            </w:pPr>
          </w:p>
          <w:p>
            <w:pPr>
              <w:spacing w:beforeLines="0" w:afterLines="0"/>
              <w:jc w:val="center"/>
              <w:rPr>
                <w:rFonts w:hint="default" w:ascii="Times New Roman" w:hAnsi="Times New Roman" w:eastAsia="Times New Roman"/>
                <w:color w:val="auto"/>
                <w:spacing w:val="-8"/>
                <w:sz w:val="24"/>
                <w:lang w:val="en-US"/>
              </w:rPr>
            </w:pPr>
          </w:p>
          <w:p>
            <w:pPr>
              <w:spacing w:beforeLines="0" w:afterLines="0"/>
              <w:jc w:val="center"/>
              <w:rPr>
                <w:rFonts w:hint="default" w:ascii="Times New Roman" w:hAnsi="Times New Roman" w:eastAsia="Times New Roman"/>
                <w:color w:val="auto"/>
                <w:spacing w:val="-8"/>
                <w:sz w:val="24"/>
                <w:lang w:val="en-US"/>
              </w:rPr>
            </w:pPr>
          </w:p>
          <w:p>
            <w:pPr>
              <w:spacing w:beforeLines="0" w:afterLines="0"/>
              <w:jc w:val="center"/>
              <w:rPr>
                <w:rFonts w:hint="default" w:ascii="Times New Roman" w:hAnsi="Times New Roman" w:eastAsia="Times New Roman"/>
                <w:color w:val="auto"/>
                <w:spacing w:val="-8"/>
                <w:sz w:val="24"/>
                <w:lang w:val="en-US"/>
              </w:rPr>
            </w:pPr>
          </w:p>
          <w:p>
            <w:pPr>
              <w:spacing w:beforeLines="0" w:afterLines="0"/>
              <w:jc w:val="center"/>
              <w:rPr>
                <w:rFonts w:hint="default" w:ascii="Times New Roman" w:hAnsi="Times New Roman" w:eastAsia="Times New Roman"/>
                <w:color w:val="auto"/>
                <w:spacing w:val="-8"/>
                <w:sz w:val="24"/>
                <w:lang w:val="en-US"/>
              </w:rPr>
            </w:pPr>
          </w:p>
          <w:p>
            <w:pPr>
              <w:spacing w:beforeLines="0" w:afterLines="0"/>
              <w:jc w:val="center"/>
              <w:rPr>
                <w:rFonts w:hint="default" w:ascii="Times New Roman" w:hAnsi="Times New Roman" w:eastAsia="Times New Roman"/>
                <w:color w:val="auto"/>
                <w:spacing w:val="-8"/>
                <w:sz w:val="24"/>
                <w:lang w:val="en-US"/>
              </w:rPr>
            </w:pPr>
          </w:p>
          <w:p>
            <w:pPr>
              <w:spacing w:beforeLines="0" w:afterLines="0"/>
              <w:jc w:val="center"/>
              <w:rPr>
                <w:rFonts w:hint="default" w:ascii="Times New Roman" w:hAnsi="Times New Roman" w:eastAsia="Times New Roman"/>
                <w:color w:val="auto"/>
                <w:spacing w:val="-8"/>
                <w:sz w:val="24"/>
                <w:lang w:val="en-US"/>
              </w:rPr>
            </w:pPr>
          </w:p>
          <w:p>
            <w:pPr>
              <w:spacing w:beforeLines="0" w:afterLines="0"/>
              <w:jc w:val="center"/>
              <w:rPr>
                <w:rFonts w:hint="default" w:ascii="Times New Roman" w:hAnsi="Times New Roman" w:eastAsia="Times New Roman"/>
                <w:color w:val="auto"/>
                <w:spacing w:val="-8"/>
                <w:sz w:val="24"/>
                <w:lang w:val="en-US"/>
              </w:rPr>
            </w:pPr>
          </w:p>
          <w:p>
            <w:pPr>
              <w:spacing w:beforeLines="0" w:afterLines="0"/>
              <w:jc w:val="center"/>
              <w:rPr>
                <w:rFonts w:hint="default" w:ascii="Times New Roman" w:hAnsi="Times New Roman" w:eastAsia="Times New Roman"/>
                <w:color w:val="auto"/>
                <w:spacing w:val="-8"/>
                <w:sz w:val="24"/>
                <w:lang w:val="en-US"/>
              </w:rPr>
            </w:pPr>
          </w:p>
          <w:p>
            <w:pPr>
              <w:spacing w:beforeLines="0" w:afterLines="0"/>
              <w:jc w:val="center"/>
              <w:rPr>
                <w:rFonts w:hint="default" w:ascii="Times New Roman" w:hAnsi="Times New Roman" w:eastAsia="Times New Roman"/>
                <w:color w:val="auto"/>
                <w:spacing w:val="-8"/>
                <w:sz w:val="24"/>
                <w:lang w:val="en-US"/>
              </w:rPr>
            </w:pPr>
          </w:p>
          <w:p>
            <w:pPr>
              <w:spacing w:beforeLines="0" w:afterLines="0"/>
              <w:jc w:val="center"/>
              <w:rPr>
                <w:rFonts w:hint="default" w:ascii="Times New Roman" w:hAnsi="Times New Roman" w:eastAsia="Times New Roman"/>
                <w:color w:val="auto"/>
                <w:spacing w:val="-8"/>
                <w:sz w:val="24"/>
                <w:lang w:val="en-US"/>
              </w:rPr>
            </w:pPr>
          </w:p>
          <w:p>
            <w:pPr>
              <w:spacing w:beforeLines="0" w:afterLines="0"/>
              <w:jc w:val="center"/>
              <w:rPr>
                <w:rFonts w:hint="default" w:ascii="Times New Roman" w:hAnsi="Times New Roman" w:eastAsia="Times New Roman"/>
                <w:color w:val="auto"/>
                <w:spacing w:val="-8"/>
                <w:sz w:val="24"/>
                <w:lang w:val="en-US"/>
              </w:rPr>
            </w:pPr>
          </w:p>
          <w:p>
            <w:pPr>
              <w:spacing w:beforeLines="0" w:afterLines="0"/>
              <w:jc w:val="center"/>
              <w:rPr>
                <w:rFonts w:hint="default" w:ascii="Times New Roman" w:hAnsi="Times New Roman" w:eastAsia="Times New Roman"/>
                <w:color w:val="auto"/>
                <w:spacing w:val="-8"/>
                <w:sz w:val="24"/>
                <w:lang w:val="en-US"/>
              </w:rPr>
            </w:pPr>
          </w:p>
          <w:p>
            <w:pPr>
              <w:spacing w:beforeLines="0" w:afterLines="0"/>
              <w:jc w:val="center"/>
              <w:rPr>
                <w:rFonts w:hint="default" w:ascii="Times New Roman" w:hAnsi="Times New Roman" w:eastAsia="Times New Roman"/>
                <w:color w:val="auto"/>
                <w:spacing w:val="-8"/>
                <w:sz w:val="24"/>
                <w:lang w:val="en-US"/>
              </w:rPr>
            </w:pPr>
          </w:p>
          <w:p>
            <w:pPr>
              <w:spacing w:beforeLines="0" w:afterLines="0"/>
              <w:jc w:val="center"/>
              <w:rPr>
                <w:rFonts w:hint="default" w:ascii="Times New Roman" w:hAnsi="Times New Roman" w:eastAsia="Times New Roman"/>
                <w:color w:val="auto"/>
                <w:spacing w:val="-8"/>
                <w:sz w:val="24"/>
                <w:lang w:val="en-US"/>
              </w:rPr>
            </w:pPr>
          </w:p>
          <w:p>
            <w:pPr>
              <w:spacing w:beforeLines="0" w:afterLines="0"/>
              <w:jc w:val="center"/>
              <w:rPr>
                <w:rFonts w:hint="default" w:ascii="Times New Roman" w:hAnsi="Times New Roman" w:eastAsia="Times New Roman"/>
                <w:color w:val="auto"/>
                <w:spacing w:val="-8"/>
                <w:sz w:val="24"/>
                <w:lang w:val="en-US"/>
              </w:rPr>
            </w:pPr>
            <w:r>
              <w:rPr>
                <w:rFonts w:hint="eastAsia" w:ascii="宋体" w:hAnsi="宋体"/>
                <w:color w:val="auto"/>
                <w:spacing w:val="-8"/>
                <w:sz w:val="24"/>
                <w:lang w:val="zh-CN"/>
              </w:rPr>
              <w:t>（十五）</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传</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染</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病</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及</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地</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方</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病</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防</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控</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行</w:t>
            </w:r>
          </w:p>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动</w:t>
            </w:r>
          </w:p>
          <w:p>
            <w:pPr>
              <w:spacing w:beforeLines="0" w:afterLines="0"/>
              <w:jc w:val="center"/>
              <w:rPr>
                <w:rFonts w:hint="default" w:ascii="Times New Roman" w:hAnsi="Times New Roman" w:eastAsia="Times New Roman"/>
                <w:color w:val="auto"/>
                <w:sz w:val="24"/>
                <w:lang w:val="en-US"/>
              </w:rPr>
            </w:pPr>
          </w:p>
          <w:p>
            <w:pPr>
              <w:spacing w:beforeLines="0" w:afterLines="0"/>
              <w:jc w:val="center"/>
              <w:rPr>
                <w:rFonts w:hint="default" w:ascii="Times New Roman" w:hAnsi="Times New Roman" w:eastAsia="Times New Roman"/>
                <w:color w:val="auto"/>
                <w:sz w:val="24"/>
                <w:lang w:val="en-US"/>
              </w:rPr>
            </w:pPr>
          </w:p>
          <w:p>
            <w:pPr>
              <w:spacing w:beforeLines="0" w:afterLines="0"/>
              <w:jc w:val="center"/>
              <w:rPr>
                <w:rFonts w:hint="default" w:ascii="Times New Roman" w:hAnsi="Times New Roman" w:eastAsia="Times New Roman"/>
                <w:color w:val="auto"/>
                <w:sz w:val="24"/>
                <w:lang w:val="en-US"/>
              </w:rPr>
            </w:pPr>
          </w:p>
          <w:p>
            <w:pPr>
              <w:spacing w:beforeLines="0" w:afterLines="0"/>
              <w:jc w:val="center"/>
              <w:rPr>
                <w:rFonts w:hint="default" w:ascii="Times New Roman" w:hAnsi="Times New Roman" w:eastAsia="Times New Roman"/>
                <w:color w:val="auto"/>
                <w:sz w:val="24"/>
                <w:lang w:val="en-US"/>
              </w:rPr>
            </w:pPr>
          </w:p>
          <w:p>
            <w:pPr>
              <w:spacing w:beforeLines="0" w:afterLines="0"/>
              <w:jc w:val="center"/>
              <w:rPr>
                <w:rFonts w:hint="default" w:ascii="Times New Roman" w:hAnsi="Times New Roman" w:eastAsia="Times New Roman"/>
                <w:color w:val="auto"/>
                <w:sz w:val="24"/>
                <w:lang w:val="en-US"/>
              </w:rPr>
            </w:pPr>
          </w:p>
          <w:p>
            <w:pPr>
              <w:spacing w:beforeLines="0" w:afterLines="0"/>
              <w:jc w:val="center"/>
              <w:rPr>
                <w:rFonts w:hint="default" w:ascii="Times New Roman" w:hAnsi="Times New Roman" w:eastAsia="Times New Roman"/>
                <w:color w:val="auto"/>
                <w:spacing w:val="-8"/>
                <w:sz w:val="24"/>
                <w:lang w:val="en-US"/>
              </w:rPr>
            </w:pPr>
          </w:p>
          <w:p>
            <w:pPr>
              <w:spacing w:beforeLines="0" w:afterLines="0"/>
              <w:jc w:val="center"/>
              <w:rPr>
                <w:rFonts w:hint="default" w:ascii="Times New Roman" w:hAnsi="Times New Roman" w:eastAsia="Times New Roman"/>
                <w:color w:val="auto"/>
                <w:spacing w:val="-8"/>
                <w:sz w:val="24"/>
                <w:lang w:val="en-US"/>
              </w:rPr>
            </w:pPr>
          </w:p>
          <w:p>
            <w:pPr>
              <w:spacing w:beforeLines="0" w:afterLines="0"/>
              <w:jc w:val="center"/>
              <w:rPr>
                <w:rFonts w:hint="default" w:ascii="Times New Roman" w:hAnsi="Times New Roman" w:eastAsia="Times New Roman"/>
                <w:color w:val="auto"/>
                <w:spacing w:val="-8"/>
                <w:sz w:val="24"/>
                <w:lang w:val="en-US"/>
              </w:rPr>
            </w:pPr>
          </w:p>
          <w:p>
            <w:pPr>
              <w:spacing w:beforeLines="0" w:afterLines="0"/>
              <w:jc w:val="center"/>
              <w:rPr>
                <w:rFonts w:hint="default" w:ascii="Times New Roman" w:hAnsi="Times New Roman" w:eastAsia="Times New Roman"/>
                <w:color w:val="auto"/>
                <w:spacing w:val="-8"/>
                <w:sz w:val="24"/>
                <w:lang w:val="en-US"/>
              </w:rPr>
            </w:pPr>
          </w:p>
          <w:p>
            <w:pPr>
              <w:spacing w:beforeLines="0" w:afterLines="0"/>
              <w:jc w:val="center"/>
              <w:rPr>
                <w:rFonts w:hint="default" w:ascii="Times New Roman" w:hAnsi="Times New Roman" w:eastAsia="Times New Roman"/>
                <w:color w:val="auto"/>
                <w:spacing w:val="-8"/>
                <w:sz w:val="24"/>
                <w:lang w:val="en-US"/>
              </w:rPr>
            </w:pPr>
          </w:p>
          <w:p>
            <w:pPr>
              <w:spacing w:beforeLines="0" w:afterLines="0"/>
              <w:jc w:val="center"/>
              <w:rPr>
                <w:rFonts w:hint="default" w:ascii="Times New Roman" w:hAnsi="Times New Roman" w:eastAsia="Times New Roman"/>
                <w:color w:val="auto"/>
                <w:spacing w:val="-8"/>
                <w:sz w:val="24"/>
                <w:lang w:val="en-US"/>
              </w:rPr>
            </w:pPr>
          </w:p>
          <w:p>
            <w:pPr>
              <w:spacing w:beforeLines="0" w:afterLines="0"/>
              <w:jc w:val="center"/>
              <w:rPr>
                <w:rFonts w:hint="default" w:ascii="Times New Roman" w:hAnsi="Times New Roman" w:eastAsia="Times New Roman"/>
                <w:color w:val="auto"/>
                <w:spacing w:val="-8"/>
                <w:sz w:val="24"/>
                <w:lang w:val="en-US"/>
              </w:rPr>
            </w:pPr>
          </w:p>
          <w:p>
            <w:pPr>
              <w:spacing w:beforeLines="0" w:afterLines="0"/>
              <w:jc w:val="center"/>
              <w:rPr>
                <w:rFonts w:hint="default" w:ascii="Times New Roman" w:hAnsi="Times New Roman" w:eastAsia="Times New Roman"/>
                <w:color w:val="auto"/>
                <w:spacing w:val="-8"/>
                <w:sz w:val="24"/>
                <w:lang w:val="en-US"/>
              </w:rPr>
            </w:pPr>
          </w:p>
          <w:p>
            <w:pPr>
              <w:spacing w:beforeLines="0" w:afterLines="0"/>
              <w:jc w:val="center"/>
              <w:rPr>
                <w:rFonts w:hint="default" w:ascii="Times New Roman" w:hAnsi="Times New Roman" w:eastAsia="Times New Roman"/>
                <w:color w:val="auto"/>
                <w:spacing w:val="-8"/>
                <w:sz w:val="24"/>
                <w:lang w:val="en-US"/>
              </w:rPr>
            </w:pPr>
          </w:p>
          <w:p>
            <w:pPr>
              <w:spacing w:beforeLines="0" w:afterLines="0"/>
              <w:jc w:val="center"/>
              <w:rPr>
                <w:rFonts w:hint="default" w:ascii="Times New Roman" w:hAnsi="Times New Roman" w:eastAsia="Times New Roman"/>
                <w:color w:val="auto"/>
                <w:spacing w:val="-8"/>
                <w:sz w:val="24"/>
                <w:lang w:val="en-US"/>
              </w:rPr>
            </w:pPr>
          </w:p>
          <w:p>
            <w:pPr>
              <w:spacing w:beforeLines="0" w:afterLines="0"/>
              <w:rPr>
                <w:rFonts w:hint="eastAsia" w:ascii="宋体" w:hAnsi="宋体"/>
                <w:color w:val="auto"/>
                <w:sz w:val="22"/>
                <w:lang w:val="zh-CN"/>
              </w:rPr>
            </w:pPr>
          </w:p>
        </w:tc>
        <w:tc>
          <w:tcPr>
            <w:tcW w:w="10212" w:type="dxa"/>
            <w:gridSpan w:val="8"/>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color w:val="auto"/>
                <w:sz w:val="24"/>
                <w:lang w:val="zh-CN"/>
              </w:rPr>
              <w:t>结果性指标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111</w:t>
            </w:r>
          </w:p>
        </w:tc>
        <w:tc>
          <w:tcPr>
            <w:tcW w:w="3458"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b/>
                <w:color w:val="auto"/>
                <w:sz w:val="24"/>
                <w:lang w:val="zh-CN"/>
              </w:rPr>
              <w:t>艾滋病全人群感染率（</w:t>
            </w:r>
            <w:r>
              <w:rPr>
                <w:rFonts w:hint="default" w:ascii="Times New Roman" w:hAnsi="Times New Roman" w:eastAsia="Times New Roman"/>
                <w:b/>
                <w:color w:val="auto"/>
                <w:sz w:val="24"/>
                <w:lang w:val="en-US"/>
              </w:rPr>
              <w:t>%</w:t>
            </w:r>
            <w:r>
              <w:rPr>
                <w:rFonts w:hint="eastAsia" w:ascii="宋体" w:hAnsi="宋体"/>
                <w:b/>
                <w:color w:val="auto"/>
                <w:sz w:val="24"/>
                <w:lang w:val="zh-CN"/>
              </w:rPr>
              <w:t>）</w:t>
            </w:r>
          </w:p>
        </w:tc>
        <w:tc>
          <w:tcPr>
            <w:tcW w:w="2262"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2018</w:t>
            </w:r>
            <w:r>
              <w:rPr>
                <w:rFonts w:hint="eastAsia" w:ascii="宋体" w:hAnsi="宋体"/>
                <w:color w:val="auto"/>
                <w:sz w:val="24"/>
                <w:lang w:val="zh-CN"/>
              </w:rPr>
              <w:t>年</w:t>
            </w:r>
            <w:r>
              <w:rPr>
                <w:rFonts w:hint="default" w:ascii="Times New Roman" w:hAnsi="Times New Roman" w:eastAsia="Times New Roman"/>
                <w:color w:val="auto"/>
                <w:sz w:val="24"/>
                <w:lang w:val="en-US"/>
              </w:rPr>
              <w:t>&lt;0.1</w:t>
            </w:r>
          </w:p>
        </w:tc>
        <w:tc>
          <w:tcPr>
            <w:tcW w:w="851"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&lt;0.15</w:t>
            </w:r>
          </w:p>
        </w:tc>
        <w:tc>
          <w:tcPr>
            <w:tcW w:w="1898"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pacing w:val="-8"/>
                <w:sz w:val="24"/>
                <w:lang w:val="en-US"/>
              </w:rPr>
              <w:t>&lt;0.2</w:t>
            </w:r>
          </w:p>
        </w:tc>
        <w:tc>
          <w:tcPr>
            <w:tcW w:w="105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9519" w:type="dxa"/>
            <w:gridSpan w:val="7"/>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default" w:ascii="Times New Roman" w:hAnsi="Times New Roman" w:eastAsia="Times New Roman"/>
                <w:color w:val="auto"/>
                <w:sz w:val="21"/>
                <w:lang w:val="en-US"/>
              </w:rPr>
            </w:pPr>
            <w:r>
              <w:rPr>
                <w:rFonts w:hint="eastAsia" w:ascii="宋体" w:hAnsi="宋体"/>
                <w:color w:val="auto"/>
                <w:sz w:val="21"/>
                <w:lang w:val="zh-CN"/>
              </w:rPr>
              <w:t>说明：基于</w:t>
            </w:r>
            <w:r>
              <w:rPr>
                <w:rFonts w:hint="default" w:ascii="Times New Roman" w:hAnsi="Times New Roman" w:eastAsia="Times New Roman"/>
                <w:color w:val="auto"/>
                <w:sz w:val="21"/>
                <w:lang w:val="en-US"/>
              </w:rPr>
              <w:t>2018</w:t>
            </w:r>
            <w:r>
              <w:rPr>
                <w:rFonts w:hint="eastAsia" w:ascii="宋体" w:hAnsi="宋体"/>
                <w:color w:val="auto"/>
                <w:sz w:val="21"/>
                <w:lang w:val="zh-CN"/>
              </w:rPr>
              <w:t>年的感染水平测算。近几年艾滋病新发感染人数基本平稳，随着抗病毒覆盖面的扩大和治疗效果的提升，感染者存活时间延长，病死率降低，一段时间内，感染者总数仍将持续增加，但总体处于低流行水平。</w:t>
            </w:r>
          </w:p>
          <w:p>
            <w:pPr>
              <w:spacing w:beforeLines="0" w:afterLines="0"/>
              <w:rPr>
                <w:rFonts w:hint="eastAsia" w:ascii="宋体" w:hAnsi="宋体"/>
                <w:color w:val="auto"/>
                <w:sz w:val="22"/>
                <w:lang w:val="zh-CN"/>
              </w:rPr>
            </w:pPr>
            <w:r>
              <w:rPr>
                <w:rFonts w:hint="eastAsia" w:ascii="宋体" w:hAnsi="宋体"/>
                <w:color w:val="auto"/>
                <w:sz w:val="21"/>
                <w:lang w:val="zh-CN"/>
              </w:rPr>
              <w:t>计算方法：估计存活艾滋病感染者数</w:t>
            </w:r>
            <w:r>
              <w:rPr>
                <w:rFonts w:hint="default" w:ascii="Times New Roman" w:hAnsi="Times New Roman" w:eastAsia="Times New Roman"/>
                <w:color w:val="auto"/>
                <w:sz w:val="21"/>
                <w:lang w:val="en-US"/>
              </w:rPr>
              <w:t>/</w:t>
            </w:r>
            <w:r>
              <w:rPr>
                <w:rFonts w:hint="eastAsia" w:ascii="宋体" w:hAnsi="宋体"/>
                <w:color w:val="auto"/>
                <w:sz w:val="21"/>
                <w:lang w:val="zh-CN"/>
              </w:rPr>
              <w:t>全国人口数×</w:t>
            </w:r>
            <w:r>
              <w:rPr>
                <w:rFonts w:hint="default" w:ascii="Times New Roman" w:hAnsi="Times New Roman" w:eastAsia="Times New Roman"/>
                <w:color w:val="auto"/>
                <w:sz w:val="21"/>
                <w:lang w:val="en-US"/>
              </w:rPr>
              <w:t>100%</w:t>
            </w:r>
            <w:r>
              <w:rPr>
                <w:rFonts w:hint="eastAsia" w:ascii="宋体" w:hAnsi="宋体"/>
                <w:color w:val="auto"/>
                <w:sz w:val="21"/>
                <w:lang w:val="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112</w:t>
            </w:r>
          </w:p>
        </w:tc>
        <w:tc>
          <w:tcPr>
            <w:tcW w:w="3458"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default" w:ascii="Times New Roman" w:hAnsi="Times New Roman" w:eastAsia="Times New Roman"/>
                <w:b/>
                <w:color w:val="auto"/>
                <w:sz w:val="24"/>
                <w:lang w:val="en-US"/>
              </w:rPr>
              <w:t>5</w:t>
            </w:r>
            <w:r>
              <w:rPr>
                <w:rFonts w:hint="eastAsia" w:ascii="宋体" w:hAnsi="宋体"/>
                <w:b/>
                <w:color w:val="auto"/>
                <w:sz w:val="24"/>
                <w:lang w:val="zh-CN"/>
              </w:rPr>
              <w:t>岁以下儿童乙型肝炎病毒表面抗原流行率（</w:t>
            </w:r>
            <w:r>
              <w:rPr>
                <w:rFonts w:hint="default" w:ascii="Times New Roman" w:hAnsi="Times New Roman" w:eastAsia="Times New Roman"/>
                <w:b/>
                <w:color w:val="auto"/>
                <w:sz w:val="24"/>
                <w:lang w:val="en-US"/>
              </w:rPr>
              <w:t>%</w:t>
            </w:r>
            <w:r>
              <w:rPr>
                <w:rFonts w:hint="eastAsia" w:ascii="宋体" w:hAnsi="宋体"/>
                <w:b/>
                <w:color w:val="auto"/>
                <w:sz w:val="24"/>
                <w:lang w:val="zh-CN"/>
              </w:rPr>
              <w:t>）</w:t>
            </w:r>
          </w:p>
        </w:tc>
        <w:tc>
          <w:tcPr>
            <w:tcW w:w="2262"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宋体" w:hAnsi="宋体"/>
                <w:color w:val="auto"/>
                <w:sz w:val="24"/>
                <w:lang w:val="zh-CN"/>
              </w:rPr>
              <w:t>—</w:t>
            </w:r>
          </w:p>
        </w:tc>
        <w:tc>
          <w:tcPr>
            <w:tcW w:w="851"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&lt;1</w:t>
            </w:r>
          </w:p>
        </w:tc>
        <w:tc>
          <w:tcPr>
            <w:tcW w:w="1898"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&lt;0.5</w:t>
            </w:r>
          </w:p>
        </w:tc>
        <w:tc>
          <w:tcPr>
            <w:tcW w:w="105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9519" w:type="dxa"/>
            <w:gridSpan w:val="7"/>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default" w:ascii="Times New Roman" w:hAnsi="Times New Roman" w:eastAsia="Times New Roman"/>
                <w:color w:val="auto"/>
                <w:sz w:val="21"/>
                <w:lang w:val="en-US"/>
              </w:rPr>
            </w:pPr>
            <w:r>
              <w:rPr>
                <w:rFonts w:hint="eastAsia" w:ascii="宋体" w:hAnsi="宋体"/>
                <w:color w:val="auto"/>
                <w:sz w:val="21"/>
                <w:lang w:val="zh-CN"/>
              </w:rPr>
              <w:t>说明：指</w:t>
            </w:r>
            <w:r>
              <w:rPr>
                <w:rFonts w:hint="default" w:ascii="Times New Roman" w:hAnsi="Times New Roman" w:eastAsia="Times New Roman"/>
                <w:color w:val="auto"/>
                <w:sz w:val="21"/>
                <w:lang w:val="en-US"/>
              </w:rPr>
              <w:t>5</w:t>
            </w:r>
            <w:r>
              <w:rPr>
                <w:rFonts w:hint="eastAsia" w:ascii="宋体" w:hAnsi="宋体"/>
                <w:color w:val="auto"/>
                <w:sz w:val="21"/>
                <w:lang w:val="zh-CN"/>
              </w:rPr>
              <w:t>岁以下儿童中乙型肝炎病毒表面抗原携带者的比例。</w:t>
            </w:r>
          </w:p>
          <w:p>
            <w:pPr>
              <w:spacing w:beforeLines="0" w:afterLines="0"/>
              <w:rPr>
                <w:rFonts w:hint="eastAsia" w:ascii="宋体" w:hAnsi="宋体"/>
                <w:color w:val="auto"/>
                <w:sz w:val="22"/>
                <w:lang w:val="zh-CN"/>
              </w:rPr>
            </w:pPr>
            <w:r>
              <w:rPr>
                <w:rFonts w:hint="eastAsia" w:ascii="宋体" w:hAnsi="宋体"/>
                <w:color w:val="auto"/>
                <w:sz w:val="21"/>
                <w:lang w:val="zh-CN"/>
              </w:rPr>
              <w:t>计算方法：</w:t>
            </w:r>
            <w:r>
              <w:rPr>
                <w:rFonts w:hint="default" w:ascii="Times New Roman" w:hAnsi="Times New Roman" w:eastAsia="Times New Roman"/>
                <w:color w:val="auto"/>
                <w:sz w:val="21"/>
                <w:lang w:val="en-US"/>
              </w:rPr>
              <w:t>5</w:t>
            </w:r>
            <w:r>
              <w:rPr>
                <w:rFonts w:hint="eastAsia" w:ascii="宋体" w:hAnsi="宋体"/>
                <w:color w:val="auto"/>
                <w:sz w:val="21"/>
                <w:lang w:val="zh-CN"/>
              </w:rPr>
              <w:t>岁以下儿童中表面抗原阳性的儿童</w:t>
            </w:r>
            <w:r>
              <w:rPr>
                <w:rFonts w:hint="default" w:ascii="Times New Roman" w:hAnsi="Times New Roman" w:eastAsia="Times New Roman"/>
                <w:color w:val="auto"/>
                <w:sz w:val="21"/>
                <w:lang w:val="en-US"/>
              </w:rPr>
              <w:t>/5</w:t>
            </w:r>
            <w:r>
              <w:rPr>
                <w:rFonts w:hint="eastAsia" w:ascii="宋体" w:hAnsi="宋体"/>
                <w:color w:val="auto"/>
                <w:sz w:val="21"/>
                <w:lang w:val="zh-CN"/>
              </w:rPr>
              <w:t>岁以下儿童总数×</w:t>
            </w:r>
            <w:r>
              <w:rPr>
                <w:rFonts w:hint="default" w:ascii="Times New Roman" w:hAnsi="Times New Roman" w:eastAsia="Times New Roman"/>
                <w:color w:val="auto"/>
                <w:sz w:val="21"/>
                <w:lang w:val="en-US"/>
              </w:rPr>
              <w:t>100%</w:t>
            </w:r>
            <w:r>
              <w:rPr>
                <w:rFonts w:hint="eastAsia" w:ascii="宋体" w:hAnsi="宋体"/>
                <w:color w:val="auto"/>
                <w:sz w:val="21"/>
                <w:lang w:val="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113</w:t>
            </w:r>
          </w:p>
        </w:tc>
        <w:tc>
          <w:tcPr>
            <w:tcW w:w="3458"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b/>
                <w:color w:val="auto"/>
                <w:sz w:val="24"/>
                <w:lang w:val="zh-CN"/>
              </w:rPr>
              <w:t>肺结核发病率（</w:t>
            </w:r>
            <w:r>
              <w:rPr>
                <w:rFonts w:hint="default" w:ascii="Times New Roman" w:hAnsi="Times New Roman" w:eastAsia="Times New Roman"/>
                <w:b/>
                <w:color w:val="auto"/>
                <w:sz w:val="24"/>
                <w:lang w:val="en-US"/>
              </w:rPr>
              <w:t>1/10</w:t>
            </w:r>
            <w:r>
              <w:rPr>
                <w:rFonts w:hint="eastAsia" w:ascii="宋体" w:hAnsi="宋体"/>
                <w:b/>
                <w:color w:val="auto"/>
                <w:sz w:val="24"/>
                <w:lang w:val="zh-CN"/>
              </w:rPr>
              <w:t>万）</w:t>
            </w:r>
          </w:p>
        </w:tc>
        <w:tc>
          <w:tcPr>
            <w:tcW w:w="2262"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宋体" w:hAnsi="宋体"/>
                <w:color w:val="auto"/>
                <w:sz w:val="24"/>
                <w:lang w:val="zh-CN"/>
              </w:rPr>
              <w:t>—</w:t>
            </w:r>
          </w:p>
        </w:tc>
        <w:tc>
          <w:tcPr>
            <w:tcW w:w="851"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&lt;55</w:t>
            </w:r>
          </w:p>
        </w:tc>
        <w:tc>
          <w:tcPr>
            <w:tcW w:w="1898"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有效</w:t>
            </w:r>
          </w:p>
          <w:p>
            <w:pPr>
              <w:spacing w:beforeLines="0" w:afterLines="0"/>
              <w:jc w:val="center"/>
              <w:rPr>
                <w:rFonts w:hint="eastAsia" w:ascii="宋体" w:hAnsi="宋体"/>
                <w:color w:val="auto"/>
                <w:sz w:val="22"/>
                <w:lang w:val="zh-CN"/>
              </w:rPr>
            </w:pPr>
            <w:r>
              <w:rPr>
                <w:rFonts w:hint="eastAsia" w:ascii="宋体" w:hAnsi="宋体"/>
                <w:color w:val="auto"/>
                <w:sz w:val="24"/>
                <w:lang w:val="zh-CN"/>
              </w:rPr>
              <w:t>控制</w:t>
            </w:r>
          </w:p>
        </w:tc>
        <w:tc>
          <w:tcPr>
            <w:tcW w:w="105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9519" w:type="dxa"/>
            <w:gridSpan w:val="7"/>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default" w:ascii="Times New Roman" w:hAnsi="Times New Roman" w:eastAsia="Times New Roman"/>
                <w:color w:val="auto"/>
                <w:sz w:val="21"/>
                <w:lang w:val="en-US"/>
              </w:rPr>
            </w:pPr>
            <w:r>
              <w:rPr>
                <w:rFonts w:hint="eastAsia" w:ascii="宋体" w:hAnsi="宋体"/>
                <w:color w:val="auto"/>
                <w:sz w:val="21"/>
                <w:lang w:val="zh-CN"/>
              </w:rPr>
              <w:t>说明：有效控制是指我国肺结核疫情呈稳定下降趋势。</w:t>
            </w:r>
          </w:p>
          <w:p>
            <w:pPr>
              <w:spacing w:beforeLines="0" w:afterLines="0"/>
              <w:rPr>
                <w:rFonts w:hint="eastAsia" w:ascii="宋体" w:hAnsi="宋体"/>
                <w:color w:val="auto"/>
                <w:sz w:val="22"/>
                <w:lang w:val="zh-CN"/>
              </w:rPr>
            </w:pPr>
            <w:r>
              <w:rPr>
                <w:rFonts w:hint="eastAsia" w:ascii="宋体" w:hAnsi="宋体"/>
                <w:color w:val="auto"/>
                <w:sz w:val="21"/>
                <w:lang w:val="zh-CN"/>
              </w:rPr>
              <w:t>计算方法：指一定地区、一定人群，在一定时间内（通常为</w:t>
            </w:r>
            <w:r>
              <w:rPr>
                <w:rFonts w:hint="default" w:ascii="Times New Roman" w:hAnsi="Times New Roman" w:eastAsia="Times New Roman"/>
                <w:color w:val="auto"/>
                <w:sz w:val="21"/>
                <w:lang w:val="en-US"/>
              </w:rPr>
              <w:t>1</w:t>
            </w:r>
            <w:r>
              <w:rPr>
                <w:rFonts w:hint="eastAsia" w:ascii="宋体" w:hAnsi="宋体"/>
                <w:color w:val="auto"/>
                <w:sz w:val="21"/>
                <w:lang w:val="zh-CN"/>
              </w:rPr>
              <w:t>年）估算新发活动性肺结核患者人数</w:t>
            </w:r>
            <w:r>
              <w:rPr>
                <w:rFonts w:hint="default" w:ascii="Times New Roman" w:hAnsi="Times New Roman" w:eastAsia="Times New Roman"/>
                <w:color w:val="auto"/>
                <w:sz w:val="21"/>
                <w:lang w:val="en-US"/>
              </w:rPr>
              <w:t>/</w:t>
            </w:r>
            <w:r>
              <w:rPr>
                <w:rFonts w:hint="eastAsia" w:ascii="宋体" w:hAnsi="宋体"/>
                <w:color w:val="auto"/>
                <w:sz w:val="21"/>
                <w:lang w:val="zh-CN"/>
              </w:rPr>
              <w:t>该地区总人数×</w:t>
            </w:r>
            <w:r>
              <w:rPr>
                <w:rFonts w:hint="default" w:ascii="Times New Roman" w:hAnsi="Times New Roman" w:eastAsia="Times New Roman"/>
                <w:color w:val="auto"/>
                <w:sz w:val="21"/>
                <w:lang w:val="en-US"/>
              </w:rPr>
              <w:t>10</w:t>
            </w:r>
            <w:r>
              <w:rPr>
                <w:rFonts w:hint="eastAsia" w:ascii="宋体" w:hAnsi="宋体"/>
                <w:color w:val="auto"/>
                <w:sz w:val="21"/>
                <w:lang w:val="zh-CN"/>
              </w:rPr>
              <w:t>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114</w:t>
            </w:r>
          </w:p>
        </w:tc>
        <w:tc>
          <w:tcPr>
            <w:tcW w:w="3458"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b/>
                <w:color w:val="auto"/>
                <w:sz w:val="24"/>
                <w:lang w:val="zh-CN"/>
              </w:rPr>
              <w:t>达到基本控制要求的包虫病流行县比例（</w:t>
            </w:r>
            <w:r>
              <w:rPr>
                <w:rFonts w:hint="default" w:ascii="Times New Roman" w:hAnsi="Times New Roman" w:eastAsia="Times New Roman"/>
                <w:b/>
                <w:color w:val="auto"/>
                <w:sz w:val="24"/>
                <w:lang w:val="en-US"/>
              </w:rPr>
              <w:t>%</w:t>
            </w:r>
            <w:r>
              <w:rPr>
                <w:rFonts w:hint="eastAsia" w:ascii="宋体" w:hAnsi="宋体"/>
                <w:b/>
                <w:color w:val="auto"/>
                <w:sz w:val="24"/>
                <w:lang w:val="zh-CN"/>
              </w:rPr>
              <w:t>）</w:t>
            </w:r>
          </w:p>
        </w:tc>
        <w:tc>
          <w:tcPr>
            <w:tcW w:w="2262"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宋体" w:hAnsi="宋体"/>
                <w:color w:val="auto"/>
                <w:sz w:val="24"/>
                <w:lang w:val="zh-CN"/>
              </w:rPr>
              <w:t>—</w:t>
            </w:r>
          </w:p>
        </w:tc>
        <w:tc>
          <w:tcPr>
            <w:tcW w:w="851"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w:t>
            </w:r>
            <w:r>
              <w:rPr>
                <w:rFonts w:hint="default" w:ascii="Times New Roman" w:hAnsi="Times New Roman" w:eastAsia="Times New Roman"/>
                <w:color w:val="auto"/>
                <w:sz w:val="24"/>
                <w:lang w:val="en-US"/>
              </w:rPr>
              <w:t>70</w:t>
            </w:r>
            <w:r>
              <w:rPr>
                <w:rFonts w:hint="default" w:ascii="Times New Roman" w:hAnsi="Times New Roman" w:eastAsia="Times New Roman"/>
                <w:color w:val="auto"/>
                <w:sz w:val="24"/>
                <w:vertAlign w:val="superscript"/>
                <w:lang w:val="en-US"/>
              </w:rPr>
              <w:t>#</w:t>
            </w:r>
          </w:p>
        </w:tc>
        <w:tc>
          <w:tcPr>
            <w:tcW w:w="1898"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100</w:t>
            </w:r>
          </w:p>
        </w:tc>
        <w:tc>
          <w:tcPr>
            <w:tcW w:w="105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9519" w:type="dxa"/>
            <w:gridSpan w:val="7"/>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color w:val="auto"/>
                <w:sz w:val="21"/>
                <w:lang w:val="zh-CN"/>
              </w:rPr>
              <w:t>说明：基本控制包虫病是指流行县人群患病率小于</w:t>
            </w:r>
            <w:r>
              <w:rPr>
                <w:rFonts w:hint="default" w:ascii="Times New Roman" w:hAnsi="Times New Roman" w:eastAsia="Times New Roman"/>
                <w:color w:val="auto"/>
                <w:sz w:val="21"/>
                <w:lang w:val="en-US"/>
              </w:rPr>
              <w:t>1%</w:t>
            </w:r>
            <w:r>
              <w:rPr>
                <w:rFonts w:hint="eastAsia" w:ascii="宋体" w:hAnsi="宋体"/>
                <w:color w:val="auto"/>
                <w:sz w:val="21"/>
                <w:lang w:val="zh-CN"/>
              </w:rPr>
              <w:t>，犬及家畜感染率小于</w:t>
            </w:r>
            <w:r>
              <w:rPr>
                <w:rFonts w:hint="default" w:ascii="Times New Roman" w:hAnsi="Times New Roman" w:eastAsia="Times New Roman"/>
                <w:color w:val="auto"/>
                <w:sz w:val="21"/>
                <w:lang w:val="en-US"/>
              </w:rPr>
              <w:t>5%</w:t>
            </w:r>
            <w:r>
              <w:rPr>
                <w:rFonts w:hint="eastAsia" w:ascii="宋体" w:hAnsi="宋体"/>
                <w:color w:val="auto"/>
                <w:sz w:val="21"/>
                <w:lang w:val="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115</w:t>
            </w:r>
          </w:p>
        </w:tc>
        <w:tc>
          <w:tcPr>
            <w:tcW w:w="3458"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b/>
                <w:color w:val="auto"/>
                <w:sz w:val="24"/>
                <w:lang w:val="zh-CN"/>
              </w:rPr>
              <w:t>疟疾本地感染病例数（例）</w:t>
            </w:r>
          </w:p>
        </w:tc>
        <w:tc>
          <w:tcPr>
            <w:tcW w:w="2262"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40</w:t>
            </w:r>
          </w:p>
        </w:tc>
        <w:tc>
          <w:tcPr>
            <w:tcW w:w="2749" w:type="dxa"/>
            <w:gridSpan w:val="3"/>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pacing w:val="-20"/>
                <w:sz w:val="24"/>
                <w:lang w:val="zh-CN"/>
              </w:rPr>
              <w:t>消除</w:t>
            </w:r>
            <w:r>
              <w:rPr>
                <w:rFonts w:hint="default" w:ascii="Times New Roman" w:hAnsi="Times New Roman" w:eastAsia="Times New Roman"/>
                <w:color w:val="auto"/>
                <w:sz w:val="24"/>
                <w:vertAlign w:val="superscript"/>
                <w:lang w:val="en-US"/>
              </w:rPr>
              <w:t>#</w:t>
            </w:r>
          </w:p>
        </w:tc>
        <w:tc>
          <w:tcPr>
            <w:tcW w:w="105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9519" w:type="dxa"/>
            <w:gridSpan w:val="7"/>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color w:val="auto"/>
                <w:sz w:val="21"/>
                <w:lang w:val="zh-CN"/>
              </w:rPr>
              <w:t>说明：是由疟原虫引起的，以按蚊为媒介传播的全球性急性寄生虫传染病。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116</w:t>
            </w:r>
          </w:p>
        </w:tc>
        <w:tc>
          <w:tcPr>
            <w:tcW w:w="3458"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b/>
                <w:color w:val="auto"/>
                <w:sz w:val="24"/>
                <w:lang w:val="zh-CN"/>
              </w:rPr>
              <w:t>血吸虫病防治</w:t>
            </w:r>
          </w:p>
        </w:tc>
        <w:tc>
          <w:tcPr>
            <w:tcW w:w="2262"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default" w:ascii="Times New Roman" w:hAnsi="Times New Roman" w:eastAsia="Times New Roman"/>
                <w:color w:val="auto"/>
                <w:spacing w:val="-10"/>
                <w:sz w:val="24"/>
                <w:lang w:val="en-US"/>
              </w:rPr>
              <w:t>3.76</w:t>
            </w:r>
            <w:r>
              <w:rPr>
                <w:rFonts w:hint="eastAsia" w:ascii="宋体" w:hAnsi="宋体"/>
                <w:color w:val="auto"/>
                <w:spacing w:val="-10"/>
                <w:sz w:val="24"/>
                <w:lang w:val="zh-CN"/>
              </w:rPr>
              <w:t>万患者</w:t>
            </w:r>
          </w:p>
        </w:tc>
        <w:tc>
          <w:tcPr>
            <w:tcW w:w="851"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有效控制和消除危害</w:t>
            </w:r>
            <w:r>
              <w:rPr>
                <w:rFonts w:hint="default" w:ascii="Times New Roman" w:hAnsi="Times New Roman" w:eastAsia="Times New Roman"/>
                <w:color w:val="auto"/>
                <w:sz w:val="24"/>
                <w:vertAlign w:val="superscript"/>
                <w:lang w:val="en-US"/>
              </w:rPr>
              <w:t>#</w:t>
            </w:r>
          </w:p>
        </w:tc>
        <w:tc>
          <w:tcPr>
            <w:tcW w:w="1898"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消除</w:t>
            </w:r>
          </w:p>
        </w:tc>
        <w:tc>
          <w:tcPr>
            <w:tcW w:w="105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9519" w:type="dxa"/>
            <w:gridSpan w:val="7"/>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color w:val="auto"/>
                <w:sz w:val="21"/>
                <w:lang w:val="zh-CN"/>
              </w:rPr>
              <w:t>说明：由裂体吸虫属血吸虫引起的一种寄生虫病，主要流行于亚、非、拉美</w:t>
            </w:r>
            <w:r>
              <w:rPr>
                <w:rFonts w:hint="default" w:ascii="Times New Roman" w:hAnsi="Times New Roman" w:eastAsia="Times New Roman"/>
                <w:color w:val="auto"/>
                <w:sz w:val="21"/>
                <w:lang w:val="en-US"/>
              </w:rPr>
              <w:t>73</w:t>
            </w:r>
            <w:r>
              <w:rPr>
                <w:rFonts w:hint="eastAsia" w:ascii="宋体" w:hAnsi="宋体"/>
                <w:color w:val="auto"/>
                <w:sz w:val="21"/>
                <w:lang w:val="zh-CN"/>
              </w:rPr>
              <w:t>个国家。血吸虫病是全球第二大寄生虫病，</w:t>
            </w:r>
            <w:r>
              <w:rPr>
                <w:rFonts w:hint="default" w:ascii="Times New Roman" w:hAnsi="Times New Roman" w:eastAsia="Times New Roman"/>
                <w:color w:val="auto"/>
                <w:sz w:val="21"/>
                <w:lang w:val="en-US"/>
              </w:rPr>
              <w:t>2017</w:t>
            </w:r>
            <w:r>
              <w:rPr>
                <w:rFonts w:hint="eastAsia" w:ascii="宋体" w:hAnsi="宋体"/>
                <w:color w:val="auto"/>
                <w:sz w:val="21"/>
                <w:lang w:val="zh-CN"/>
              </w:rPr>
              <w:t>年感染人数</w:t>
            </w:r>
            <w:r>
              <w:rPr>
                <w:rFonts w:hint="default" w:ascii="Times New Roman" w:hAnsi="Times New Roman" w:eastAsia="Times New Roman"/>
                <w:color w:val="auto"/>
                <w:sz w:val="21"/>
                <w:lang w:val="en-US"/>
              </w:rPr>
              <w:t>2.3</w:t>
            </w:r>
            <w:r>
              <w:rPr>
                <w:rFonts w:hint="eastAsia" w:ascii="宋体" w:hAnsi="宋体"/>
                <w:color w:val="auto"/>
                <w:sz w:val="21"/>
                <w:lang w:val="zh-CN"/>
              </w:rPr>
              <w:t>亿人。有效控制和消除血吸虫病危害，即现症晚期血吸虫病人全部得到有效救治，防治措施全面落实，防控体系得到稳固加强。消除血吸虫病，指达到传播阻断要求后，连续</w:t>
            </w:r>
            <w:r>
              <w:rPr>
                <w:rFonts w:hint="default" w:ascii="Times New Roman" w:hAnsi="Times New Roman" w:eastAsia="Times New Roman"/>
                <w:color w:val="auto"/>
                <w:sz w:val="21"/>
                <w:lang w:val="en-US"/>
              </w:rPr>
              <w:t>5</w:t>
            </w:r>
            <w:r>
              <w:rPr>
                <w:rFonts w:hint="eastAsia" w:ascii="宋体" w:hAnsi="宋体"/>
                <w:color w:val="auto"/>
                <w:sz w:val="21"/>
                <w:lang w:val="zh-CN"/>
              </w:rPr>
              <w:t>年未发现当地感染的血吸虫病病人、病畜和感染性钉螺。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117</w:t>
            </w:r>
          </w:p>
        </w:tc>
        <w:tc>
          <w:tcPr>
            <w:tcW w:w="3458"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b/>
                <w:color w:val="auto"/>
                <w:sz w:val="24"/>
                <w:lang w:val="zh-CN"/>
              </w:rPr>
              <w:t>燃煤污染型氟砷中毒、大骨节病和克山病危害</w:t>
            </w:r>
          </w:p>
        </w:tc>
        <w:tc>
          <w:tcPr>
            <w:tcW w:w="2262"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宋体" w:hAnsi="宋体"/>
                <w:color w:val="auto"/>
                <w:sz w:val="24"/>
                <w:lang w:val="zh-CN"/>
              </w:rPr>
              <w:t>—</w:t>
            </w:r>
          </w:p>
        </w:tc>
        <w:tc>
          <w:tcPr>
            <w:tcW w:w="2749" w:type="dxa"/>
            <w:gridSpan w:val="3"/>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保持基本消除</w:t>
            </w:r>
            <w:r>
              <w:rPr>
                <w:rFonts w:hint="default" w:ascii="Times New Roman" w:hAnsi="Times New Roman" w:eastAsia="Times New Roman"/>
                <w:color w:val="auto"/>
                <w:sz w:val="24"/>
                <w:vertAlign w:val="superscript"/>
                <w:lang w:val="en-US"/>
              </w:rPr>
              <w:t>#</w:t>
            </w:r>
          </w:p>
        </w:tc>
        <w:tc>
          <w:tcPr>
            <w:tcW w:w="105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9519" w:type="dxa"/>
            <w:gridSpan w:val="7"/>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color w:val="auto"/>
                <w:sz w:val="21"/>
                <w:lang w:val="zh-CN"/>
              </w:rPr>
              <w:t>说明：保持基本消除燃煤污染型地方性氟砷中毒、大骨节病、克山病危害指全国</w:t>
            </w:r>
            <w:r>
              <w:rPr>
                <w:rFonts w:hint="default" w:ascii="Times New Roman" w:hAnsi="Times New Roman" w:eastAsia="Times New Roman"/>
                <w:color w:val="auto"/>
                <w:sz w:val="21"/>
                <w:lang w:val="en-US"/>
              </w:rPr>
              <w:t>95%</w:t>
            </w:r>
            <w:r>
              <w:rPr>
                <w:rFonts w:hint="eastAsia" w:ascii="宋体" w:hAnsi="宋体"/>
                <w:color w:val="auto"/>
                <w:sz w:val="21"/>
                <w:lang w:val="zh-CN"/>
              </w:rPr>
              <w:t>以上的病区县达到控制或消除水平。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118</w:t>
            </w:r>
          </w:p>
        </w:tc>
        <w:tc>
          <w:tcPr>
            <w:tcW w:w="3458"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b/>
                <w:color w:val="auto"/>
                <w:sz w:val="24"/>
                <w:lang w:val="zh-CN"/>
              </w:rPr>
              <w:t>饮水型氟砷中毒、饮茶型地氟病和水源性高碘危害</w:t>
            </w:r>
          </w:p>
        </w:tc>
        <w:tc>
          <w:tcPr>
            <w:tcW w:w="2262"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宋体" w:hAnsi="宋体"/>
                <w:color w:val="auto"/>
                <w:sz w:val="24"/>
                <w:lang w:val="zh-CN"/>
              </w:rPr>
              <w:t>—</w:t>
            </w:r>
          </w:p>
        </w:tc>
        <w:tc>
          <w:tcPr>
            <w:tcW w:w="2749" w:type="dxa"/>
            <w:gridSpan w:val="3"/>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有效控制</w:t>
            </w:r>
            <w:r>
              <w:rPr>
                <w:rFonts w:hint="default" w:ascii="Times New Roman" w:hAnsi="Times New Roman" w:eastAsia="Times New Roman"/>
                <w:color w:val="auto"/>
                <w:sz w:val="24"/>
                <w:vertAlign w:val="superscript"/>
                <w:lang w:val="en-US"/>
              </w:rPr>
              <w:t>#</w:t>
            </w:r>
          </w:p>
        </w:tc>
        <w:tc>
          <w:tcPr>
            <w:tcW w:w="105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9519" w:type="dxa"/>
            <w:gridSpan w:val="7"/>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color w:val="auto"/>
                <w:sz w:val="21"/>
                <w:lang w:val="zh-CN"/>
              </w:rPr>
              <w:t>说明：有效控制饮水型地方性氟砷中毒危害是指</w:t>
            </w:r>
            <w:r>
              <w:rPr>
                <w:rFonts w:hint="default" w:ascii="Times New Roman" w:hAnsi="Times New Roman" w:eastAsia="Times New Roman"/>
                <w:color w:val="auto"/>
                <w:sz w:val="21"/>
                <w:lang w:val="en-US"/>
              </w:rPr>
              <w:t>90%</w:t>
            </w:r>
            <w:r>
              <w:rPr>
                <w:rFonts w:hint="eastAsia" w:ascii="宋体" w:hAnsi="宋体"/>
                <w:color w:val="auto"/>
                <w:sz w:val="21"/>
                <w:lang w:val="zh-CN"/>
              </w:rPr>
              <w:t>以上氟（砷）超标村饮用水氟（砷）含量符合国家卫生标准，</w:t>
            </w:r>
            <w:r>
              <w:rPr>
                <w:rFonts w:hint="default" w:ascii="Times New Roman" w:hAnsi="Times New Roman" w:eastAsia="Times New Roman"/>
                <w:color w:val="auto"/>
                <w:sz w:val="21"/>
                <w:lang w:val="en-US"/>
              </w:rPr>
              <w:t>70%</w:t>
            </w:r>
            <w:r>
              <w:rPr>
                <w:rFonts w:hint="eastAsia" w:ascii="宋体" w:hAnsi="宋体"/>
                <w:color w:val="auto"/>
                <w:sz w:val="21"/>
                <w:lang w:val="zh-CN"/>
              </w:rPr>
              <w:t>以上的病区县饮水型氟中毒达到控制水平，</w:t>
            </w:r>
            <w:r>
              <w:rPr>
                <w:rFonts w:hint="default" w:ascii="Times New Roman" w:hAnsi="Times New Roman" w:eastAsia="Times New Roman"/>
                <w:color w:val="auto"/>
                <w:sz w:val="21"/>
                <w:lang w:val="en-US"/>
              </w:rPr>
              <w:t>90%</w:t>
            </w:r>
            <w:r>
              <w:rPr>
                <w:rFonts w:hint="eastAsia" w:ascii="宋体" w:hAnsi="宋体"/>
                <w:color w:val="auto"/>
                <w:sz w:val="21"/>
                <w:lang w:val="zh-CN"/>
              </w:rPr>
              <w:t>以上的病区县饮水型砷中毒达到消除水平。有效控制饮茶型地氟病危害是指在内蒙古、四川、西藏、甘肃、青海、宁夏、新疆等</w:t>
            </w:r>
            <w:r>
              <w:rPr>
                <w:rFonts w:hint="default" w:ascii="Times New Roman" w:hAnsi="Times New Roman" w:eastAsia="Times New Roman"/>
                <w:color w:val="auto"/>
                <w:sz w:val="21"/>
                <w:lang w:val="en-US"/>
              </w:rPr>
              <w:t>7</w:t>
            </w:r>
            <w:r>
              <w:rPr>
                <w:rFonts w:hint="eastAsia" w:ascii="宋体" w:hAnsi="宋体"/>
                <w:color w:val="auto"/>
                <w:sz w:val="21"/>
                <w:lang w:val="zh-CN"/>
              </w:rPr>
              <w:t>个省（自治区）大力推广氟含量合格的砖茶，逐步降低人群砖茶氟摄入水平。有效控制水源性高碘危害是指水源性高碘病区和地区</w:t>
            </w:r>
            <w:r>
              <w:rPr>
                <w:rFonts w:hint="default" w:ascii="Times New Roman" w:hAnsi="Times New Roman" w:eastAsia="Times New Roman"/>
                <w:color w:val="auto"/>
                <w:sz w:val="21"/>
                <w:lang w:val="en-US"/>
              </w:rPr>
              <w:t>95%</w:t>
            </w:r>
            <w:r>
              <w:rPr>
                <w:rFonts w:hint="eastAsia" w:ascii="宋体" w:hAnsi="宋体"/>
                <w:color w:val="auto"/>
                <w:sz w:val="21"/>
                <w:lang w:val="zh-CN"/>
              </w:rPr>
              <w:t>以上的县居民户无碘盐食用率达到</w:t>
            </w:r>
            <w:r>
              <w:rPr>
                <w:rFonts w:hint="default" w:ascii="Times New Roman" w:hAnsi="Times New Roman" w:eastAsia="Times New Roman"/>
                <w:color w:val="auto"/>
                <w:sz w:val="21"/>
                <w:lang w:val="en-US"/>
              </w:rPr>
              <w:t>90%</w:t>
            </w:r>
            <w:r>
              <w:rPr>
                <w:rFonts w:hint="eastAsia" w:ascii="宋体" w:hAnsi="宋体"/>
                <w:color w:val="auto"/>
                <w:sz w:val="21"/>
                <w:lang w:val="zh-CN"/>
              </w:rPr>
              <w:t>以上，水源性高碘病区落实改水措施。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10212" w:type="dxa"/>
            <w:gridSpan w:val="8"/>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color w:val="auto"/>
                <w:sz w:val="24"/>
                <w:lang w:val="zh-CN"/>
              </w:rPr>
              <w:t>个人和社会倡导性指标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119</w:t>
            </w:r>
          </w:p>
        </w:tc>
        <w:tc>
          <w:tcPr>
            <w:tcW w:w="8469" w:type="dxa"/>
            <w:gridSpan w:val="6"/>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b/>
                <w:color w:val="auto"/>
                <w:sz w:val="24"/>
                <w:lang w:val="zh-CN"/>
              </w:rPr>
              <w:t>提倡负责任和安全的性行为，鼓励使用安全套</w:t>
            </w:r>
            <w:r>
              <w:rPr>
                <w:rFonts w:hint="default" w:ascii="Times New Roman" w:hAnsi="Times New Roman" w:eastAsia="Times New Roman"/>
                <w:b/>
                <w:color w:val="auto"/>
                <w:sz w:val="24"/>
                <w:lang w:val="en-US"/>
              </w:rPr>
              <w:t xml:space="preserve"> </w:t>
            </w:r>
          </w:p>
        </w:tc>
        <w:tc>
          <w:tcPr>
            <w:tcW w:w="105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color w:val="auto"/>
                <w:sz w:val="24"/>
                <w:lang w:val="zh-CN"/>
              </w:rPr>
              <w:t>倡导性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120</w:t>
            </w:r>
          </w:p>
        </w:tc>
        <w:tc>
          <w:tcPr>
            <w:tcW w:w="8469" w:type="dxa"/>
            <w:gridSpan w:val="6"/>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b/>
                <w:color w:val="auto"/>
                <w:sz w:val="24"/>
                <w:lang w:val="zh-CN"/>
              </w:rPr>
              <w:t>咳嗽、打喷嚏时用胳膊或纸巾掩口鼻，正确、文明吐痰</w:t>
            </w:r>
          </w:p>
        </w:tc>
        <w:tc>
          <w:tcPr>
            <w:tcW w:w="105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color w:val="auto"/>
                <w:sz w:val="24"/>
                <w:lang w:val="zh-CN"/>
              </w:rPr>
              <w:t>倡导性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121</w:t>
            </w:r>
          </w:p>
        </w:tc>
        <w:tc>
          <w:tcPr>
            <w:tcW w:w="8469" w:type="dxa"/>
            <w:gridSpan w:val="6"/>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b/>
                <w:color w:val="auto"/>
                <w:sz w:val="24"/>
                <w:lang w:val="zh-CN"/>
              </w:rPr>
              <w:t>充分认识疫苗对预防疾病的重要作用，积极接种疫苗</w:t>
            </w:r>
          </w:p>
        </w:tc>
        <w:tc>
          <w:tcPr>
            <w:tcW w:w="105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color w:val="auto"/>
                <w:sz w:val="24"/>
                <w:lang w:val="zh-CN"/>
              </w:rPr>
              <w:t>倡导性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10212" w:type="dxa"/>
            <w:gridSpan w:val="8"/>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color w:val="auto"/>
                <w:sz w:val="24"/>
                <w:lang w:val="zh-CN"/>
              </w:rPr>
              <w:t>政府工作指标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122</w:t>
            </w:r>
          </w:p>
        </w:tc>
        <w:tc>
          <w:tcPr>
            <w:tcW w:w="3458"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b/>
                <w:color w:val="auto"/>
                <w:sz w:val="24"/>
                <w:lang w:val="zh-CN"/>
              </w:rPr>
              <w:t>以乡（镇、街道）为单位适龄儿童免疫规划疫苗接种率（</w:t>
            </w:r>
            <w:r>
              <w:rPr>
                <w:rFonts w:hint="default" w:ascii="Times New Roman" w:hAnsi="Times New Roman" w:eastAsia="Times New Roman"/>
                <w:b/>
                <w:color w:val="auto"/>
                <w:sz w:val="24"/>
                <w:lang w:val="en-US"/>
              </w:rPr>
              <w:t>%</w:t>
            </w:r>
            <w:r>
              <w:rPr>
                <w:rFonts w:hint="eastAsia" w:ascii="宋体" w:hAnsi="宋体"/>
                <w:b/>
                <w:color w:val="auto"/>
                <w:sz w:val="24"/>
                <w:lang w:val="zh-CN"/>
              </w:rPr>
              <w:t>）</w:t>
            </w:r>
          </w:p>
        </w:tc>
        <w:tc>
          <w:tcPr>
            <w:tcW w:w="2262"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90</w:t>
            </w:r>
          </w:p>
        </w:tc>
        <w:tc>
          <w:tcPr>
            <w:tcW w:w="2749" w:type="dxa"/>
            <w:gridSpan w:val="3"/>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w:t>
            </w:r>
            <w:r>
              <w:rPr>
                <w:rFonts w:hint="default" w:ascii="Times New Roman" w:hAnsi="Times New Roman" w:eastAsia="Times New Roman"/>
                <w:color w:val="auto"/>
                <w:sz w:val="24"/>
                <w:lang w:val="en-US"/>
              </w:rPr>
              <w:t>90</w:t>
            </w:r>
          </w:p>
        </w:tc>
        <w:tc>
          <w:tcPr>
            <w:tcW w:w="105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9519" w:type="dxa"/>
            <w:gridSpan w:val="7"/>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default" w:ascii="Times New Roman" w:hAnsi="Times New Roman" w:eastAsia="Times New Roman"/>
                <w:color w:val="auto"/>
                <w:sz w:val="21"/>
                <w:lang w:val="en-US"/>
              </w:rPr>
            </w:pPr>
            <w:r>
              <w:rPr>
                <w:rFonts w:hint="eastAsia" w:ascii="宋体" w:hAnsi="宋体"/>
                <w:color w:val="auto"/>
                <w:sz w:val="21"/>
                <w:lang w:val="zh-CN"/>
              </w:rPr>
              <w:t>说明：以乡（镇、街道）为单位，免疫规划内适龄儿童的疫苗接种率。</w:t>
            </w:r>
          </w:p>
          <w:p>
            <w:pPr>
              <w:spacing w:beforeLines="0" w:afterLines="0"/>
              <w:rPr>
                <w:rFonts w:hint="eastAsia" w:ascii="宋体" w:hAnsi="宋体"/>
                <w:color w:val="auto"/>
                <w:sz w:val="22"/>
                <w:lang w:val="zh-CN"/>
              </w:rPr>
            </w:pPr>
            <w:r>
              <w:rPr>
                <w:rFonts w:hint="eastAsia" w:ascii="宋体" w:hAnsi="宋体"/>
                <w:color w:val="auto"/>
                <w:sz w:val="21"/>
                <w:lang w:val="zh-CN"/>
              </w:rPr>
              <w:t>计算方法：免疫规划内接种疫苗适龄儿童数</w:t>
            </w:r>
            <w:r>
              <w:rPr>
                <w:rFonts w:hint="default" w:ascii="Times New Roman" w:hAnsi="Times New Roman" w:eastAsia="Times New Roman"/>
                <w:color w:val="auto"/>
                <w:sz w:val="21"/>
                <w:lang w:val="en-US"/>
              </w:rPr>
              <w:t>/</w:t>
            </w:r>
            <w:r>
              <w:rPr>
                <w:rFonts w:hint="eastAsia" w:ascii="宋体" w:hAnsi="宋体"/>
                <w:color w:val="auto"/>
                <w:sz w:val="21"/>
                <w:lang w:val="zh-CN"/>
              </w:rPr>
              <w:t>适龄儿童数×</w:t>
            </w:r>
            <w:r>
              <w:rPr>
                <w:rFonts w:hint="default" w:ascii="Times New Roman" w:hAnsi="Times New Roman" w:eastAsia="Times New Roman"/>
                <w:color w:val="auto"/>
                <w:sz w:val="21"/>
                <w:lang w:val="en-US"/>
              </w:rPr>
              <w:t>100%</w:t>
            </w:r>
            <w:r>
              <w:rPr>
                <w:rFonts w:hint="eastAsia" w:ascii="宋体" w:hAnsi="宋体"/>
                <w:color w:val="auto"/>
                <w:sz w:val="21"/>
                <w:lang w:val="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7" w:hRule="atLeast"/>
          <w:jc w:val="center"/>
        </w:trPr>
        <w:tc>
          <w:tcPr>
            <w:tcW w:w="695"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健康</w:t>
            </w:r>
          </w:p>
          <w:p>
            <w:pPr>
              <w:spacing w:beforeLines="0" w:afterLines="0"/>
              <w:jc w:val="center"/>
              <w:rPr>
                <w:rFonts w:hint="eastAsia" w:ascii="宋体" w:hAnsi="宋体"/>
                <w:color w:val="auto"/>
                <w:sz w:val="22"/>
                <w:lang w:val="zh-CN"/>
              </w:rPr>
            </w:pPr>
            <w:r>
              <w:rPr>
                <w:rFonts w:hint="eastAsia" w:ascii="宋体" w:hAnsi="宋体"/>
                <w:color w:val="auto"/>
                <w:sz w:val="24"/>
                <w:lang w:val="zh-CN"/>
              </w:rPr>
              <w:t>水平</w:t>
            </w:r>
          </w:p>
        </w:tc>
        <w:tc>
          <w:tcPr>
            <w:tcW w:w="693"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123</w:t>
            </w:r>
          </w:p>
        </w:tc>
        <w:tc>
          <w:tcPr>
            <w:tcW w:w="3458"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b/>
                <w:color w:val="auto"/>
                <w:sz w:val="24"/>
                <w:lang w:val="zh-CN"/>
              </w:rPr>
              <w:t>人均预期寿命（岁）</w:t>
            </w:r>
          </w:p>
        </w:tc>
        <w:tc>
          <w:tcPr>
            <w:tcW w:w="2262"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76.7</w:t>
            </w:r>
          </w:p>
        </w:tc>
        <w:tc>
          <w:tcPr>
            <w:tcW w:w="851"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77.7</w:t>
            </w:r>
          </w:p>
        </w:tc>
        <w:tc>
          <w:tcPr>
            <w:tcW w:w="1898"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79.0</w:t>
            </w:r>
          </w:p>
        </w:tc>
        <w:tc>
          <w:tcPr>
            <w:tcW w:w="105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3"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9519" w:type="dxa"/>
            <w:gridSpan w:val="7"/>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color w:val="auto"/>
                <w:sz w:val="21"/>
                <w:lang w:val="zh-CN"/>
              </w:rPr>
              <w:t>说明：指在一定死亡水平下，预期每个人出生时平均可存活的年数；根据寿命表法计算所得；根据世界银行数据，</w:t>
            </w:r>
            <w:r>
              <w:rPr>
                <w:rFonts w:hint="default" w:ascii="Times New Roman" w:hAnsi="Times New Roman" w:eastAsia="Times New Roman"/>
                <w:color w:val="auto"/>
                <w:sz w:val="21"/>
                <w:lang w:val="en-US"/>
              </w:rPr>
              <w:t>2016</w:t>
            </w:r>
            <w:r>
              <w:rPr>
                <w:rFonts w:hint="eastAsia" w:ascii="宋体" w:hAnsi="宋体"/>
                <w:color w:val="auto"/>
                <w:sz w:val="21"/>
                <w:lang w:val="zh-CN"/>
              </w:rPr>
              <w:t>年中高收入国家平均为</w:t>
            </w:r>
            <w:r>
              <w:rPr>
                <w:rFonts w:hint="default" w:ascii="Times New Roman" w:hAnsi="Times New Roman" w:eastAsia="Times New Roman"/>
                <w:color w:val="auto"/>
                <w:sz w:val="21"/>
                <w:lang w:val="en-US"/>
              </w:rPr>
              <w:t>75</w:t>
            </w:r>
            <w:r>
              <w:rPr>
                <w:rFonts w:hint="eastAsia" w:ascii="宋体" w:hAnsi="宋体"/>
                <w:color w:val="auto"/>
                <w:sz w:val="21"/>
                <w:lang w:val="zh-CN"/>
              </w:rPr>
              <w:t>岁，高收入国家平均为</w:t>
            </w:r>
            <w:r>
              <w:rPr>
                <w:rFonts w:hint="default" w:ascii="Times New Roman" w:hAnsi="Times New Roman" w:eastAsia="Times New Roman"/>
                <w:color w:val="auto"/>
                <w:sz w:val="21"/>
                <w:lang w:val="en-US"/>
              </w:rPr>
              <w:t>80</w:t>
            </w:r>
            <w:r>
              <w:rPr>
                <w:rFonts w:hint="eastAsia" w:ascii="宋体" w:hAnsi="宋体"/>
                <w:color w:val="auto"/>
                <w:sz w:val="21"/>
                <w:lang w:val="zh-CN"/>
              </w:rPr>
              <w:t>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9"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124</w:t>
            </w:r>
          </w:p>
        </w:tc>
        <w:tc>
          <w:tcPr>
            <w:tcW w:w="3458"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b/>
                <w:color w:val="auto"/>
                <w:sz w:val="24"/>
                <w:lang w:val="zh-CN"/>
              </w:rPr>
              <w:t>人均健康预期寿命（岁）</w:t>
            </w:r>
          </w:p>
        </w:tc>
        <w:tc>
          <w:tcPr>
            <w:tcW w:w="2262"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default" w:ascii="Times New Roman" w:hAnsi="Times New Roman" w:eastAsia="Times New Roman"/>
                <w:color w:val="auto"/>
                <w:sz w:val="24"/>
                <w:lang w:val="en-US"/>
              </w:rPr>
              <w:t>2016</w:t>
            </w:r>
            <w:r>
              <w:rPr>
                <w:rFonts w:hint="eastAsia" w:ascii="宋体" w:hAnsi="宋体"/>
                <w:color w:val="auto"/>
                <w:sz w:val="24"/>
                <w:lang w:val="zh-CN"/>
              </w:rPr>
              <w:t>年为</w:t>
            </w:r>
            <w:r>
              <w:rPr>
                <w:rFonts w:hint="default" w:ascii="Times New Roman" w:hAnsi="Times New Roman" w:eastAsia="Times New Roman"/>
                <w:color w:val="auto"/>
                <w:sz w:val="24"/>
                <w:lang w:val="en-US"/>
              </w:rPr>
              <w:t>68.7</w:t>
            </w:r>
          </w:p>
        </w:tc>
        <w:tc>
          <w:tcPr>
            <w:tcW w:w="851"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提高</w:t>
            </w:r>
          </w:p>
        </w:tc>
        <w:tc>
          <w:tcPr>
            <w:tcW w:w="1898"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default" w:ascii="Times New Roman" w:hAnsi="Times New Roman" w:eastAsia="Times New Roman"/>
                <w:color w:val="auto"/>
                <w:sz w:val="24"/>
                <w:lang w:val="en-US"/>
              </w:rPr>
            </w:pPr>
            <w:r>
              <w:rPr>
                <w:rFonts w:hint="eastAsia" w:ascii="宋体" w:hAnsi="宋体"/>
                <w:color w:val="auto"/>
                <w:sz w:val="24"/>
                <w:lang w:val="zh-CN"/>
              </w:rPr>
              <w:t>显著</w:t>
            </w:r>
          </w:p>
          <w:p>
            <w:pPr>
              <w:spacing w:beforeLines="0" w:afterLines="0"/>
              <w:jc w:val="center"/>
              <w:rPr>
                <w:rFonts w:hint="eastAsia" w:ascii="宋体" w:hAnsi="宋体"/>
                <w:color w:val="auto"/>
                <w:sz w:val="22"/>
                <w:lang w:val="zh-CN"/>
              </w:rPr>
            </w:pPr>
            <w:r>
              <w:rPr>
                <w:rFonts w:hint="eastAsia" w:ascii="宋体" w:hAnsi="宋体"/>
                <w:color w:val="auto"/>
                <w:sz w:val="24"/>
                <w:lang w:val="zh-CN"/>
              </w:rPr>
              <w:t>提高</w:t>
            </w:r>
          </w:p>
        </w:tc>
        <w:tc>
          <w:tcPr>
            <w:tcW w:w="105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olor w:val="auto"/>
                <w:sz w:val="22"/>
                <w:lang w:val="zh-CN"/>
              </w:rPr>
            </w:pPr>
            <w:r>
              <w:rPr>
                <w:rFonts w:hint="eastAsia" w:ascii="宋体" w:hAnsi="宋体"/>
                <w:color w:val="auto"/>
                <w:sz w:val="24"/>
                <w:lang w:val="zh-C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9" w:hRule="atLeast"/>
          <w:jc w:val="center"/>
        </w:trPr>
        <w:tc>
          <w:tcPr>
            <w:tcW w:w="6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693"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line="620" w:lineRule="atLeast"/>
              <w:jc w:val="center"/>
              <w:rPr>
                <w:rFonts w:hint="eastAsia" w:ascii="宋体" w:hAnsi="宋体"/>
                <w:color w:val="auto"/>
                <w:sz w:val="22"/>
                <w:lang w:val="zh-CN"/>
              </w:rPr>
            </w:pPr>
          </w:p>
        </w:tc>
        <w:tc>
          <w:tcPr>
            <w:tcW w:w="9519" w:type="dxa"/>
            <w:gridSpan w:val="7"/>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rPr>
                <w:rFonts w:hint="eastAsia" w:ascii="宋体" w:hAnsi="宋体"/>
                <w:color w:val="auto"/>
                <w:sz w:val="22"/>
                <w:lang w:val="zh-CN"/>
              </w:rPr>
            </w:pPr>
            <w:r>
              <w:rPr>
                <w:rFonts w:hint="eastAsia" w:ascii="宋体" w:hAnsi="宋体"/>
                <w:color w:val="auto"/>
                <w:sz w:val="21"/>
                <w:lang w:val="zh-CN"/>
              </w:rPr>
              <w:t>说明：是一个相对数据，估算的是一个人在完全健康状态下生存的平均年数，这一数据是基于现在人口的死亡率和普遍的健康状况。根据《世界卫生统计</w:t>
            </w:r>
            <w:r>
              <w:rPr>
                <w:rFonts w:hint="default" w:ascii="Times New Roman" w:hAnsi="Times New Roman" w:eastAsia="Times New Roman"/>
                <w:color w:val="auto"/>
                <w:sz w:val="21"/>
                <w:lang w:val="en-US"/>
              </w:rPr>
              <w:t>2018</w:t>
            </w:r>
            <w:r>
              <w:rPr>
                <w:rFonts w:hint="eastAsia" w:ascii="宋体" w:hAnsi="宋体"/>
                <w:color w:val="auto"/>
                <w:sz w:val="21"/>
                <w:lang w:val="zh-CN"/>
              </w:rPr>
              <w:t>》数据，</w:t>
            </w:r>
            <w:r>
              <w:rPr>
                <w:rFonts w:hint="default" w:ascii="Times New Roman" w:hAnsi="Times New Roman" w:eastAsia="Times New Roman"/>
                <w:color w:val="auto"/>
                <w:sz w:val="21"/>
                <w:lang w:val="en-US"/>
              </w:rPr>
              <w:t>2016</w:t>
            </w:r>
            <w:r>
              <w:rPr>
                <w:rFonts w:hint="eastAsia" w:ascii="宋体" w:hAnsi="宋体"/>
                <w:color w:val="auto"/>
                <w:sz w:val="21"/>
                <w:lang w:val="zh-CN"/>
              </w:rPr>
              <w:t>年中国的人均健康预期寿命为</w:t>
            </w:r>
            <w:r>
              <w:rPr>
                <w:rFonts w:hint="default" w:ascii="Times New Roman" w:hAnsi="Times New Roman" w:eastAsia="Times New Roman"/>
                <w:color w:val="auto"/>
                <w:sz w:val="21"/>
                <w:lang w:val="en-US"/>
              </w:rPr>
              <w:t>68.7</w:t>
            </w:r>
            <w:r>
              <w:rPr>
                <w:rFonts w:hint="eastAsia" w:ascii="宋体" w:hAnsi="宋体"/>
                <w:color w:val="auto"/>
                <w:sz w:val="21"/>
                <w:lang w:val="zh-CN"/>
              </w:rPr>
              <w:t>岁，高于美国的</w:t>
            </w:r>
            <w:r>
              <w:rPr>
                <w:rFonts w:hint="default" w:ascii="Times New Roman" w:hAnsi="Times New Roman" w:eastAsia="Times New Roman"/>
                <w:color w:val="auto"/>
                <w:sz w:val="21"/>
                <w:lang w:val="en-US"/>
              </w:rPr>
              <w:t>68.5</w:t>
            </w:r>
            <w:r>
              <w:rPr>
                <w:rFonts w:hint="eastAsia" w:ascii="宋体" w:hAnsi="宋体"/>
                <w:color w:val="auto"/>
                <w:sz w:val="21"/>
                <w:lang w:val="zh-CN"/>
              </w:rPr>
              <w:t>岁。</w:t>
            </w:r>
          </w:p>
        </w:tc>
      </w:tr>
    </w:tbl>
    <w:p>
      <w:pPr>
        <w:spacing w:beforeLines="0" w:afterLines="0" w:line="500" w:lineRule="atLeast"/>
        <w:ind w:firstLine="560"/>
        <w:rPr>
          <w:rFonts w:hint="default" w:ascii="Times New Roman" w:hAnsi="Times New Roman" w:eastAsia="Times New Roman"/>
          <w:color w:val="auto"/>
          <w:sz w:val="32"/>
          <w:lang w:val="en-US"/>
        </w:rPr>
      </w:pPr>
      <w:r>
        <w:rPr>
          <w:rFonts w:hint="eastAsia" w:ascii="宋体" w:hAnsi="宋体"/>
          <w:color w:val="auto"/>
          <w:sz w:val="28"/>
          <w:lang w:val="zh-CN"/>
        </w:rPr>
        <w:t>注：（</w:t>
      </w:r>
      <w:r>
        <w:rPr>
          <w:rFonts w:hint="default" w:ascii="Times New Roman" w:hAnsi="Times New Roman" w:eastAsia="Times New Roman"/>
          <w:color w:val="auto"/>
          <w:sz w:val="28"/>
          <w:lang w:val="en-US"/>
        </w:rPr>
        <w:t>1</w:t>
      </w:r>
      <w:r>
        <w:rPr>
          <w:rFonts w:hint="eastAsia" w:ascii="宋体" w:hAnsi="宋体"/>
          <w:color w:val="auto"/>
          <w:sz w:val="28"/>
          <w:lang w:val="zh-CN"/>
        </w:rPr>
        <w:t>）本文件中的有关调查数据，未特别说明的，主要为官方抽样调查统计数据；（</w:t>
      </w:r>
      <w:r>
        <w:rPr>
          <w:rFonts w:hint="default" w:ascii="Times New Roman" w:hAnsi="Times New Roman" w:eastAsia="Times New Roman"/>
          <w:color w:val="auto"/>
          <w:sz w:val="28"/>
          <w:lang w:val="en-US"/>
        </w:rPr>
        <w:t>2</w:t>
      </w:r>
      <w:r>
        <w:rPr>
          <w:rFonts w:hint="eastAsia" w:ascii="宋体" w:hAnsi="宋体"/>
          <w:color w:val="auto"/>
          <w:sz w:val="28"/>
          <w:lang w:val="zh-CN"/>
        </w:rPr>
        <w:t>）本主要指标表中，未写明年份的基线水平值，均为</w:t>
      </w:r>
      <w:r>
        <w:rPr>
          <w:rFonts w:hint="default" w:ascii="Times New Roman" w:hAnsi="Times New Roman" w:eastAsia="Times New Roman"/>
          <w:color w:val="auto"/>
          <w:sz w:val="28"/>
          <w:lang w:val="en-US"/>
        </w:rPr>
        <w:t>2017</w:t>
      </w:r>
      <w:r>
        <w:rPr>
          <w:rFonts w:hint="eastAsia" w:ascii="宋体" w:hAnsi="宋体"/>
          <w:color w:val="auto"/>
          <w:sz w:val="28"/>
          <w:lang w:val="zh-CN"/>
        </w:rPr>
        <w:t>年数值；（</w:t>
      </w:r>
      <w:r>
        <w:rPr>
          <w:rFonts w:hint="default" w:ascii="Times New Roman" w:hAnsi="Times New Roman" w:eastAsia="Times New Roman"/>
          <w:color w:val="auto"/>
          <w:sz w:val="28"/>
          <w:lang w:val="en-US"/>
        </w:rPr>
        <w:t>3</w:t>
      </w:r>
      <w:r>
        <w:rPr>
          <w:rFonts w:hint="eastAsia" w:ascii="宋体" w:hAnsi="宋体"/>
          <w:color w:val="auto"/>
          <w:sz w:val="28"/>
          <w:lang w:val="zh-CN"/>
        </w:rPr>
        <w:t>）</w:t>
      </w:r>
      <w:r>
        <w:rPr>
          <w:rFonts w:hint="default" w:ascii="Times New Roman" w:hAnsi="Times New Roman" w:eastAsia="Times New Roman"/>
          <w:color w:val="auto"/>
          <w:sz w:val="28"/>
          <w:vertAlign w:val="superscript"/>
          <w:lang w:val="en-US"/>
        </w:rPr>
        <w:t>#</w:t>
      </w:r>
      <w:r>
        <w:rPr>
          <w:rFonts w:hint="eastAsia" w:ascii="宋体" w:hAnsi="宋体"/>
          <w:color w:val="auto"/>
          <w:sz w:val="28"/>
          <w:lang w:val="zh-CN"/>
        </w:rPr>
        <w:t>为</w:t>
      </w:r>
      <w:r>
        <w:rPr>
          <w:rFonts w:hint="default" w:ascii="Times New Roman" w:hAnsi="Times New Roman" w:eastAsia="Times New Roman"/>
          <w:color w:val="auto"/>
          <w:sz w:val="28"/>
          <w:lang w:val="en-US"/>
        </w:rPr>
        <w:t>2020</w:t>
      </w:r>
      <w:r>
        <w:rPr>
          <w:rFonts w:hint="eastAsia" w:ascii="宋体" w:hAnsi="宋体"/>
          <w:color w:val="auto"/>
          <w:sz w:val="28"/>
          <w:lang w:val="zh-CN"/>
        </w:rPr>
        <w:t>年目标值。</w:t>
      </w:r>
    </w:p>
    <w:p>
      <w:pPr>
        <w:spacing w:beforeLines="0" w:afterLines="0" w:line="600" w:lineRule="atLeast"/>
        <w:ind w:firstLine="640"/>
        <w:rPr>
          <w:rFonts w:hint="default" w:ascii="Times New Roman" w:hAnsi="Times New Roman" w:eastAsia="Times New Roman"/>
          <w:color w:val="auto"/>
          <w:sz w:val="32"/>
          <w:lang w:val="en-US"/>
        </w:rPr>
      </w:pPr>
      <w:r>
        <w:rPr>
          <w:rFonts w:hint="eastAsia" w:ascii="宋体" w:hAnsi="宋体"/>
          <w:color w:val="auto"/>
          <w:sz w:val="32"/>
          <w:lang w:val="zh-CN"/>
        </w:rPr>
        <w:t>三、重大行动</w:t>
      </w:r>
    </w:p>
    <w:p>
      <w:pPr>
        <w:spacing w:beforeLines="0" w:afterLines="0" w:line="600" w:lineRule="atLeast"/>
        <w:ind w:firstLine="643"/>
        <w:rPr>
          <w:rFonts w:hint="default" w:ascii="Times New Roman" w:hAnsi="Times New Roman" w:eastAsia="Times New Roman"/>
          <w:color w:val="auto"/>
          <w:sz w:val="32"/>
          <w:lang w:val="en-US"/>
        </w:rPr>
      </w:pPr>
      <w:r>
        <w:rPr>
          <w:rFonts w:hint="eastAsia" w:ascii="宋体" w:hAnsi="宋体"/>
          <w:b/>
          <w:color w:val="auto"/>
          <w:sz w:val="32"/>
          <w:lang w:val="zh-CN"/>
        </w:rPr>
        <w:t>（一）健康知识普及行动。</w:t>
      </w:r>
    </w:p>
    <w:p>
      <w:pPr>
        <w:spacing w:beforeLines="0" w:afterLines="0" w:line="600" w:lineRule="atLeast"/>
        <w:ind w:firstLine="640"/>
        <w:rPr>
          <w:rFonts w:hint="default" w:ascii="Times New Roman" w:hAnsi="Times New Roman" w:eastAsia="Times New Roman"/>
          <w:color w:val="auto"/>
          <w:sz w:val="32"/>
          <w:lang w:val="en-US"/>
        </w:rPr>
      </w:pPr>
      <w:r>
        <w:rPr>
          <w:rFonts w:hint="eastAsia" w:ascii="宋体" w:hAnsi="宋体"/>
          <w:color w:val="auto"/>
          <w:sz w:val="32"/>
          <w:lang w:val="zh-CN"/>
        </w:rPr>
        <w:t>每个人是自己健康的第一责任人，对家庭和社会都负有健康责任。普及健康知识，提高全民健康素养水平，是提高全民健康水平最根本最经济最有效的措施之一。当前，我国居民健康素养水平总体仍比较低。</w:t>
      </w:r>
      <w:r>
        <w:rPr>
          <w:rFonts w:hint="default" w:ascii="Times New Roman" w:hAnsi="Times New Roman" w:eastAsia="Times New Roman"/>
          <w:color w:val="auto"/>
          <w:sz w:val="32"/>
          <w:lang w:val="en-US"/>
        </w:rPr>
        <w:t>2017</w:t>
      </w:r>
      <w:r>
        <w:rPr>
          <w:rFonts w:hint="eastAsia" w:ascii="宋体" w:hAnsi="宋体"/>
          <w:color w:val="auto"/>
          <w:sz w:val="32"/>
          <w:lang w:val="zh-CN"/>
        </w:rPr>
        <w:t>年居民健康素养水平只有</w:t>
      </w:r>
      <w:r>
        <w:rPr>
          <w:rFonts w:hint="default" w:ascii="Times New Roman" w:hAnsi="Times New Roman" w:eastAsia="Times New Roman"/>
          <w:color w:val="auto"/>
          <w:sz w:val="32"/>
          <w:lang w:val="en-US"/>
        </w:rPr>
        <w:t>14.18%</w:t>
      </w:r>
      <w:r>
        <w:rPr>
          <w:rFonts w:hint="eastAsia" w:ascii="宋体" w:hAnsi="宋体"/>
          <w:color w:val="auto"/>
          <w:sz w:val="32"/>
          <w:lang w:val="zh-CN"/>
        </w:rPr>
        <w:t>。城乡居民关于预防疾病、早期发现、紧急救援、及时就医、合理用药、应急避险等维护健康的知识和技能比较缺乏，不健康生活行为方式比较普遍。科学普及健康知识，提升健康素养，有助于提高居民自我健康管理能力和健康水平。《中国公民健康素养</w:t>
      </w:r>
      <w:r>
        <w:rPr>
          <w:rFonts w:hint="default" w:ascii="宋体" w:hAnsi="宋体"/>
          <w:color w:val="auto"/>
          <w:sz w:val="32"/>
          <w:lang w:val="zh-CN"/>
        </w:rPr>
        <w:t>——</w:t>
      </w:r>
      <w:r>
        <w:rPr>
          <w:rFonts w:hint="eastAsia" w:ascii="宋体" w:hAnsi="宋体"/>
          <w:color w:val="auto"/>
          <w:sz w:val="32"/>
          <w:lang w:val="zh-CN"/>
        </w:rPr>
        <w:t>基本知识与技能》界定了现阶段健康素养的具体内容，是公民最应掌握的健康知识和技能。</w:t>
      </w:r>
    </w:p>
    <w:p>
      <w:pPr>
        <w:spacing w:beforeLines="0" w:afterLines="0" w:line="600" w:lineRule="atLeast"/>
        <w:ind w:firstLine="640"/>
        <w:rPr>
          <w:rFonts w:hint="default" w:ascii="Times New Roman" w:hAnsi="Times New Roman" w:eastAsia="Times New Roman"/>
          <w:color w:val="auto"/>
          <w:sz w:val="32"/>
          <w:lang w:val="en-US"/>
        </w:rPr>
      </w:pPr>
      <w:r>
        <w:rPr>
          <w:rFonts w:hint="eastAsia" w:ascii="宋体" w:hAnsi="宋体"/>
          <w:color w:val="auto"/>
          <w:sz w:val="32"/>
          <w:lang w:val="zh-CN"/>
        </w:rPr>
        <w:t>行动目标：</w:t>
      </w:r>
    </w:p>
    <w:p>
      <w:pPr>
        <w:spacing w:beforeLines="0" w:afterLines="0" w:line="600" w:lineRule="atLeast"/>
        <w:ind w:firstLine="640"/>
        <w:rPr>
          <w:rFonts w:hint="default" w:ascii="Times New Roman" w:hAnsi="Times New Roman" w:eastAsia="Times New Roman"/>
          <w:color w:val="auto"/>
          <w:sz w:val="32"/>
          <w:lang w:val="en-US"/>
        </w:rPr>
      </w:pPr>
      <w:r>
        <w:rPr>
          <w:rFonts w:hint="eastAsia" w:ascii="宋体" w:hAnsi="宋体"/>
          <w:color w:val="auto"/>
          <w:sz w:val="32"/>
          <w:lang w:val="zh-CN"/>
        </w:rPr>
        <w:t>到</w:t>
      </w:r>
      <w:r>
        <w:rPr>
          <w:rFonts w:hint="default" w:ascii="Times New Roman" w:hAnsi="Times New Roman" w:eastAsia="Times New Roman"/>
          <w:color w:val="auto"/>
          <w:sz w:val="32"/>
          <w:lang w:val="en-US"/>
        </w:rPr>
        <w:t>2022</w:t>
      </w:r>
      <w:r>
        <w:rPr>
          <w:rFonts w:hint="eastAsia" w:ascii="宋体" w:hAnsi="宋体"/>
          <w:color w:val="auto"/>
          <w:sz w:val="32"/>
          <w:lang w:val="zh-CN"/>
        </w:rPr>
        <w:t>年和</w:t>
      </w:r>
      <w:r>
        <w:rPr>
          <w:rFonts w:hint="default" w:ascii="Times New Roman" w:hAnsi="Times New Roman" w:eastAsia="Times New Roman"/>
          <w:color w:val="auto"/>
          <w:sz w:val="32"/>
          <w:lang w:val="en-US"/>
        </w:rPr>
        <w:t>2030</w:t>
      </w:r>
      <w:r>
        <w:rPr>
          <w:rFonts w:hint="eastAsia" w:ascii="宋体" w:hAnsi="宋体"/>
          <w:color w:val="auto"/>
          <w:sz w:val="32"/>
          <w:lang w:val="zh-CN"/>
        </w:rPr>
        <w:t>年，全国居民健康素养水平分别不低于</w:t>
      </w:r>
      <w:r>
        <w:rPr>
          <w:rFonts w:hint="default" w:ascii="Times New Roman" w:hAnsi="Times New Roman" w:eastAsia="Times New Roman"/>
          <w:color w:val="auto"/>
          <w:sz w:val="32"/>
          <w:lang w:val="en-US"/>
        </w:rPr>
        <w:t>22%</w:t>
      </w:r>
      <w:r>
        <w:rPr>
          <w:rFonts w:hint="eastAsia" w:ascii="宋体" w:hAnsi="宋体"/>
          <w:color w:val="auto"/>
          <w:sz w:val="32"/>
          <w:lang w:val="zh-CN"/>
        </w:rPr>
        <w:t>和</w:t>
      </w:r>
      <w:r>
        <w:rPr>
          <w:rFonts w:hint="default" w:ascii="Times New Roman" w:hAnsi="Times New Roman" w:eastAsia="Times New Roman"/>
          <w:color w:val="auto"/>
          <w:sz w:val="32"/>
          <w:lang w:val="en-US"/>
        </w:rPr>
        <w:t>30%</w:t>
      </w:r>
      <w:r>
        <w:rPr>
          <w:rFonts w:hint="eastAsia" w:ascii="宋体" w:hAnsi="宋体"/>
          <w:color w:val="auto"/>
          <w:sz w:val="32"/>
          <w:lang w:val="zh-CN"/>
        </w:rPr>
        <w:t>，其中：基本知识和理念素养水平、健康生活方式与行为素养水平、基本技能素养水平分别提高到</w:t>
      </w:r>
      <w:r>
        <w:rPr>
          <w:rFonts w:hint="default" w:ascii="Times New Roman" w:hAnsi="Times New Roman" w:eastAsia="Times New Roman"/>
          <w:color w:val="auto"/>
          <w:sz w:val="32"/>
          <w:lang w:val="en-US"/>
        </w:rPr>
        <w:t>30%</w:t>
      </w:r>
      <w:r>
        <w:rPr>
          <w:rFonts w:hint="eastAsia" w:ascii="宋体" w:hAnsi="宋体"/>
          <w:color w:val="auto"/>
          <w:sz w:val="32"/>
          <w:lang w:val="zh-CN"/>
        </w:rPr>
        <w:t>、</w:t>
      </w:r>
      <w:r>
        <w:rPr>
          <w:rFonts w:hint="default" w:ascii="Times New Roman" w:hAnsi="Times New Roman" w:eastAsia="Times New Roman"/>
          <w:color w:val="auto"/>
          <w:sz w:val="32"/>
          <w:lang w:val="en-US"/>
        </w:rPr>
        <w:t>18%</w:t>
      </w:r>
      <w:r>
        <w:rPr>
          <w:rFonts w:hint="eastAsia" w:ascii="宋体" w:hAnsi="宋体"/>
          <w:color w:val="auto"/>
          <w:sz w:val="32"/>
          <w:lang w:val="zh-CN"/>
        </w:rPr>
        <w:t>、</w:t>
      </w:r>
      <w:r>
        <w:rPr>
          <w:rFonts w:hint="default" w:ascii="Times New Roman" w:hAnsi="Times New Roman" w:eastAsia="Times New Roman"/>
          <w:color w:val="auto"/>
          <w:sz w:val="32"/>
          <w:lang w:val="en-US"/>
        </w:rPr>
        <w:t>20%</w:t>
      </w:r>
      <w:r>
        <w:rPr>
          <w:rFonts w:hint="eastAsia" w:ascii="宋体" w:hAnsi="宋体"/>
          <w:color w:val="auto"/>
          <w:sz w:val="32"/>
          <w:lang w:val="zh-CN"/>
        </w:rPr>
        <w:t>及以上和</w:t>
      </w:r>
      <w:r>
        <w:rPr>
          <w:rFonts w:hint="default" w:ascii="Times New Roman" w:hAnsi="Times New Roman" w:eastAsia="Times New Roman"/>
          <w:color w:val="auto"/>
          <w:sz w:val="32"/>
          <w:lang w:val="en-US"/>
        </w:rPr>
        <w:t>45%</w:t>
      </w:r>
      <w:r>
        <w:rPr>
          <w:rFonts w:hint="eastAsia" w:ascii="宋体" w:hAnsi="宋体"/>
          <w:color w:val="auto"/>
          <w:sz w:val="32"/>
          <w:lang w:val="zh-CN"/>
        </w:rPr>
        <w:t>、</w:t>
      </w:r>
      <w:r>
        <w:rPr>
          <w:rFonts w:hint="default" w:ascii="Times New Roman" w:hAnsi="Times New Roman" w:eastAsia="Times New Roman"/>
          <w:color w:val="auto"/>
          <w:sz w:val="32"/>
          <w:lang w:val="en-US"/>
        </w:rPr>
        <w:t>25%</w:t>
      </w:r>
      <w:r>
        <w:rPr>
          <w:rFonts w:hint="eastAsia" w:ascii="宋体" w:hAnsi="宋体"/>
          <w:color w:val="auto"/>
          <w:sz w:val="32"/>
          <w:lang w:val="zh-CN"/>
        </w:rPr>
        <w:t>、</w:t>
      </w:r>
      <w:r>
        <w:rPr>
          <w:rFonts w:hint="default" w:ascii="Times New Roman" w:hAnsi="Times New Roman" w:eastAsia="Times New Roman"/>
          <w:color w:val="auto"/>
          <w:sz w:val="32"/>
          <w:lang w:val="en-US"/>
        </w:rPr>
        <w:t>30%</w:t>
      </w:r>
      <w:r>
        <w:rPr>
          <w:rFonts w:hint="eastAsia" w:ascii="宋体" w:hAnsi="宋体"/>
          <w:color w:val="auto"/>
          <w:sz w:val="32"/>
          <w:lang w:val="zh-CN"/>
        </w:rPr>
        <w:t>及以上，居民基本医疗素养、慢性病防治素养、传染病防治素养水平分别提高到</w:t>
      </w:r>
      <w:r>
        <w:rPr>
          <w:rFonts w:hint="default" w:ascii="Times New Roman" w:hAnsi="Times New Roman" w:eastAsia="Times New Roman"/>
          <w:color w:val="auto"/>
          <w:sz w:val="32"/>
          <w:lang w:val="en-US"/>
        </w:rPr>
        <w:t>20%</w:t>
      </w:r>
      <w:r>
        <w:rPr>
          <w:rFonts w:hint="eastAsia" w:ascii="宋体" w:hAnsi="宋体"/>
          <w:color w:val="auto"/>
          <w:sz w:val="32"/>
          <w:lang w:val="zh-CN"/>
        </w:rPr>
        <w:t>、</w:t>
      </w:r>
      <w:r>
        <w:rPr>
          <w:rFonts w:hint="default" w:ascii="Times New Roman" w:hAnsi="Times New Roman" w:eastAsia="Times New Roman"/>
          <w:color w:val="auto"/>
          <w:sz w:val="32"/>
          <w:lang w:val="en-US"/>
        </w:rPr>
        <w:t>20%</w:t>
      </w:r>
      <w:r>
        <w:rPr>
          <w:rFonts w:hint="eastAsia" w:ascii="宋体" w:hAnsi="宋体"/>
          <w:color w:val="auto"/>
          <w:sz w:val="32"/>
          <w:lang w:val="zh-CN"/>
        </w:rPr>
        <w:t>、</w:t>
      </w:r>
      <w:r>
        <w:rPr>
          <w:rFonts w:hint="default" w:ascii="Times New Roman" w:hAnsi="Times New Roman" w:eastAsia="Times New Roman"/>
          <w:color w:val="auto"/>
          <w:sz w:val="32"/>
          <w:lang w:val="en-US"/>
        </w:rPr>
        <w:t>20%</w:t>
      </w:r>
      <w:r>
        <w:rPr>
          <w:rFonts w:hint="eastAsia" w:ascii="宋体" w:hAnsi="宋体"/>
          <w:color w:val="auto"/>
          <w:sz w:val="32"/>
          <w:lang w:val="zh-CN"/>
        </w:rPr>
        <w:t>及以上和</w:t>
      </w:r>
      <w:r>
        <w:rPr>
          <w:rFonts w:hint="default" w:ascii="Times New Roman" w:hAnsi="Times New Roman" w:eastAsia="Times New Roman"/>
          <w:color w:val="auto"/>
          <w:sz w:val="32"/>
          <w:lang w:val="en-US"/>
        </w:rPr>
        <w:t>28%</w:t>
      </w:r>
      <w:r>
        <w:rPr>
          <w:rFonts w:hint="eastAsia" w:ascii="宋体" w:hAnsi="宋体"/>
          <w:color w:val="auto"/>
          <w:sz w:val="32"/>
          <w:lang w:val="zh-CN"/>
        </w:rPr>
        <w:t>、</w:t>
      </w:r>
      <w:r>
        <w:rPr>
          <w:rFonts w:hint="default" w:ascii="Times New Roman" w:hAnsi="Times New Roman" w:eastAsia="Times New Roman"/>
          <w:color w:val="auto"/>
          <w:sz w:val="32"/>
          <w:lang w:val="en-US"/>
        </w:rPr>
        <w:t>30%</w:t>
      </w:r>
      <w:r>
        <w:rPr>
          <w:rFonts w:hint="eastAsia" w:ascii="宋体" w:hAnsi="宋体"/>
          <w:color w:val="auto"/>
          <w:sz w:val="32"/>
          <w:lang w:val="zh-CN"/>
        </w:rPr>
        <w:t>、</w:t>
      </w:r>
      <w:r>
        <w:rPr>
          <w:rFonts w:hint="default" w:ascii="Times New Roman" w:hAnsi="Times New Roman" w:eastAsia="Times New Roman"/>
          <w:color w:val="auto"/>
          <w:sz w:val="32"/>
          <w:lang w:val="en-US"/>
        </w:rPr>
        <w:t>25%</w:t>
      </w:r>
      <w:r>
        <w:rPr>
          <w:rFonts w:hint="eastAsia" w:ascii="宋体" w:hAnsi="宋体"/>
          <w:color w:val="auto"/>
          <w:sz w:val="32"/>
          <w:lang w:val="zh-CN"/>
        </w:rPr>
        <w:t>及以上；人口献血率分别达到</w:t>
      </w:r>
      <w:r>
        <w:rPr>
          <w:rFonts w:hint="default" w:ascii="Times New Roman" w:hAnsi="Times New Roman" w:eastAsia="Times New Roman"/>
          <w:color w:val="auto"/>
          <w:sz w:val="32"/>
          <w:lang w:val="en-US"/>
        </w:rPr>
        <w:t>15</w:t>
      </w:r>
      <w:r>
        <w:rPr>
          <w:rFonts w:hint="eastAsia" w:ascii="宋体" w:hAnsi="宋体"/>
          <w:color w:val="auto"/>
          <w:sz w:val="32"/>
          <w:lang w:val="zh-CN"/>
        </w:rPr>
        <w:t>‰和</w:t>
      </w:r>
      <w:r>
        <w:rPr>
          <w:rFonts w:hint="default" w:ascii="Times New Roman" w:hAnsi="Times New Roman" w:eastAsia="Times New Roman"/>
          <w:color w:val="auto"/>
          <w:sz w:val="32"/>
          <w:lang w:val="en-US"/>
        </w:rPr>
        <w:t>25</w:t>
      </w:r>
      <w:r>
        <w:rPr>
          <w:rFonts w:hint="eastAsia" w:ascii="宋体" w:hAnsi="宋体"/>
          <w:color w:val="auto"/>
          <w:sz w:val="32"/>
          <w:lang w:val="zh-CN"/>
        </w:rPr>
        <w:t>‰；建立并完善健康科普专家库和资源库，构建健康科普知识发布和传播机制；中央广电总台对公益性健康节目和栏目，在时段、时长上给予倾斜保障；建立医疗机构和医务人员开展健康教育和健康促进的绩效考核机制；医务人员掌握与岗位相适应的健康科普知识，并在诊疗过程中主动提供健康指导；中医医院设置治未病科室比例分别达到</w:t>
      </w:r>
      <w:r>
        <w:rPr>
          <w:rFonts w:hint="default" w:ascii="Times New Roman" w:hAnsi="Times New Roman" w:eastAsia="Times New Roman"/>
          <w:color w:val="auto"/>
          <w:sz w:val="32"/>
          <w:lang w:val="en-US"/>
        </w:rPr>
        <w:t>90%</w:t>
      </w:r>
      <w:r>
        <w:rPr>
          <w:rFonts w:hint="eastAsia" w:ascii="宋体" w:hAnsi="宋体"/>
          <w:color w:val="auto"/>
          <w:sz w:val="32"/>
          <w:lang w:val="zh-CN"/>
        </w:rPr>
        <w:t>和</w:t>
      </w:r>
      <w:r>
        <w:rPr>
          <w:rFonts w:hint="default" w:ascii="Times New Roman" w:hAnsi="Times New Roman" w:eastAsia="Times New Roman"/>
          <w:color w:val="auto"/>
          <w:sz w:val="32"/>
          <w:lang w:val="en-US"/>
        </w:rPr>
        <w:t>100%</w:t>
      </w:r>
      <w:r>
        <w:rPr>
          <w:rFonts w:hint="eastAsia" w:ascii="宋体" w:hAnsi="宋体"/>
          <w:color w:val="auto"/>
          <w:sz w:val="32"/>
          <w:lang w:val="zh-CN"/>
        </w:rPr>
        <w:t>。鼓励各主要媒体网站和商业网站开设健康科普栏目。提倡个人定期记录身心健康状况；了解掌握基本中医药健康知识；掌握基本的急救知识和技能。</w:t>
      </w:r>
    </w:p>
    <w:p>
      <w:pPr>
        <w:spacing w:beforeLines="0" w:afterLines="0" w:line="600" w:lineRule="atLeast"/>
        <w:ind w:firstLine="643"/>
        <w:rPr>
          <w:rFonts w:hint="default" w:ascii="Times New Roman" w:hAnsi="Times New Roman" w:eastAsia="Times New Roman"/>
          <w:b/>
          <w:color w:val="auto"/>
          <w:sz w:val="32"/>
          <w:lang w:val="en-US"/>
        </w:rPr>
      </w:pPr>
      <w:r>
        <w:rPr>
          <w:rFonts w:hint="default" w:ascii="宋体" w:hAnsi="宋体"/>
          <w:b/>
          <w:color w:val="auto"/>
          <w:sz w:val="32"/>
          <w:lang w:val="zh-CN"/>
        </w:rPr>
        <w:t>——</w:t>
      </w:r>
      <w:r>
        <w:rPr>
          <w:rFonts w:hint="eastAsia" w:ascii="宋体" w:hAnsi="宋体"/>
          <w:b/>
          <w:color w:val="auto"/>
          <w:sz w:val="32"/>
          <w:lang w:val="zh-CN"/>
        </w:rPr>
        <w:t>个人和家庭：</w:t>
      </w:r>
    </w:p>
    <w:p>
      <w:pPr>
        <w:spacing w:beforeLines="0" w:afterLines="0" w:line="600" w:lineRule="atLeast"/>
        <w:ind w:firstLine="48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1.</w:t>
      </w:r>
      <w:r>
        <w:rPr>
          <w:rFonts w:hint="eastAsia" w:ascii="宋体" w:hAnsi="宋体"/>
          <w:color w:val="auto"/>
          <w:sz w:val="32"/>
          <w:lang w:val="zh-CN"/>
        </w:rPr>
        <w:t>正确认识健康。健康包括身体健康、心理健康和良好的社会适应能力。遗传因素、环境因素、个人生活方式和医疗卫生服务是影响健康的主要因素。每个人是自己健康的第一责任人，提倡主动学习健康知识，养成健康生活方式，自觉维护和促进自身健康，理解生老病死的自然规律，了解医疗技术的局限性，尊重医学和医务人员，共同应对健康问题。</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2.</w:t>
      </w:r>
      <w:r>
        <w:rPr>
          <w:rFonts w:hint="eastAsia" w:ascii="宋体" w:hAnsi="宋体"/>
          <w:color w:val="auto"/>
          <w:sz w:val="32"/>
          <w:lang w:val="zh-CN"/>
        </w:rPr>
        <w:t>养成健康文明的生活方式。注重饮食有节、起居有常、动静结合、心态平和。讲究个人卫生、环境卫生、饮食卫生，勤洗手、常洗澡、早晚刷牙、饭后漱口，不共用毛巾和洗漱用品，不随地吐痰，咳嗽、打喷嚏时用胳膊或纸巾遮掩口鼻。没有不良嗜好，不吸烟，吸烟者尽早戒烟，少喝酒，不酗酒，拒绝毒品。积极参加健康有益的文体活动和社会活动。关注并记录自身健康状况，定期健康体检。积极参与无偿献血，健康成人每次献血</w:t>
      </w:r>
      <w:r>
        <w:rPr>
          <w:rFonts w:hint="default" w:ascii="Times New Roman" w:hAnsi="Times New Roman" w:eastAsia="Times New Roman"/>
          <w:color w:val="auto"/>
          <w:sz w:val="32"/>
          <w:lang w:val="en-US"/>
        </w:rPr>
        <w:t>400ml</w:t>
      </w:r>
      <w:r>
        <w:rPr>
          <w:rFonts w:hint="eastAsia" w:ascii="宋体" w:hAnsi="宋体"/>
          <w:color w:val="auto"/>
          <w:sz w:val="32"/>
          <w:lang w:val="zh-CN"/>
        </w:rPr>
        <w:t>不影响健康，还能帮助他人，两次献血间隔不少于</w:t>
      </w:r>
      <w:r>
        <w:rPr>
          <w:rFonts w:hint="default" w:ascii="Times New Roman" w:hAnsi="Times New Roman" w:eastAsia="Times New Roman"/>
          <w:color w:val="auto"/>
          <w:sz w:val="32"/>
          <w:lang w:val="en-US"/>
        </w:rPr>
        <w:t>6</w:t>
      </w:r>
      <w:r>
        <w:rPr>
          <w:rFonts w:hint="eastAsia" w:ascii="宋体" w:hAnsi="宋体"/>
          <w:color w:val="auto"/>
          <w:sz w:val="32"/>
          <w:lang w:val="zh-CN"/>
        </w:rPr>
        <w:t>个月。</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3.</w:t>
      </w:r>
      <w:r>
        <w:rPr>
          <w:rFonts w:hint="eastAsia" w:ascii="宋体" w:hAnsi="宋体"/>
          <w:color w:val="auto"/>
          <w:sz w:val="32"/>
          <w:lang w:val="zh-CN"/>
        </w:rPr>
        <w:t>关注健康信息。学习、了解、掌握、应用《中国公民健康素养</w:t>
      </w:r>
      <w:r>
        <w:rPr>
          <w:rFonts w:hint="default" w:ascii="宋体" w:hAnsi="宋体"/>
          <w:color w:val="auto"/>
          <w:sz w:val="32"/>
          <w:lang w:val="zh-CN"/>
        </w:rPr>
        <w:t>——</w:t>
      </w:r>
      <w:r>
        <w:rPr>
          <w:rFonts w:hint="eastAsia" w:ascii="宋体" w:hAnsi="宋体"/>
          <w:color w:val="auto"/>
          <w:sz w:val="32"/>
          <w:lang w:val="zh-CN"/>
        </w:rPr>
        <w:t>基本知识与技能》和中医养生保健知识。遇到健康问题时，积极主动获取健康相关信息。提高理解、甄别、应用健康信息的能力，优先选择从卫生健康行政部门等政府部门及医疗卫生专业机构等正规途径获取健康知识。</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4.</w:t>
      </w:r>
      <w:r>
        <w:rPr>
          <w:rFonts w:hint="eastAsia" w:ascii="宋体" w:hAnsi="宋体"/>
          <w:color w:val="auto"/>
          <w:sz w:val="32"/>
          <w:lang w:val="zh-CN"/>
        </w:rPr>
        <w:t>掌握必备的健康技能。会测量体温、脉搏；能够看懂食品、药品、化妆品、保健品的标签和说明书；学会识别常见的危险标识，如高压、易燃、易爆、剧毒、放射性、生物安全等，远离危险物。积极参加逃生与急救培训，学会基本逃生技能与急救技能；需要紧急医疗救助时拨打</w:t>
      </w:r>
      <w:r>
        <w:rPr>
          <w:rFonts w:hint="default" w:ascii="Times New Roman" w:hAnsi="Times New Roman" w:eastAsia="Times New Roman"/>
          <w:color w:val="auto"/>
          <w:sz w:val="32"/>
          <w:lang w:val="en-US"/>
        </w:rPr>
        <w:t>120</w:t>
      </w:r>
      <w:r>
        <w:rPr>
          <w:rFonts w:hint="eastAsia" w:ascii="宋体" w:hAnsi="宋体"/>
          <w:color w:val="auto"/>
          <w:sz w:val="32"/>
          <w:lang w:val="zh-CN"/>
        </w:rPr>
        <w:t>急救电话；发生创伤出血量较多时，立即止血、包扎；对怀疑骨折的伤员不要轻易搬动；遇到呼吸、心脏骤停的伤病员，会进行心肺复苏；抢救触电者时，首先切断电源，不能直接接触触电者；发生火灾时，会拨打火警电话</w:t>
      </w:r>
      <w:r>
        <w:rPr>
          <w:rFonts w:hint="default" w:ascii="Times New Roman" w:hAnsi="Times New Roman" w:eastAsia="Times New Roman"/>
          <w:color w:val="auto"/>
          <w:sz w:val="32"/>
          <w:lang w:val="en-US"/>
        </w:rPr>
        <w:t>119</w:t>
      </w:r>
      <w:r>
        <w:rPr>
          <w:rFonts w:hint="eastAsia" w:ascii="宋体" w:hAnsi="宋体"/>
          <w:color w:val="auto"/>
          <w:sz w:val="32"/>
          <w:lang w:val="zh-CN"/>
        </w:rPr>
        <w:t>，会隔离烟雾、用湿毛巾捂住口鼻、低姿逃生。应用适宜的中医养生保健技术方法，开展自助式中医健康干预。</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5.</w:t>
      </w:r>
      <w:r>
        <w:rPr>
          <w:rFonts w:hint="eastAsia" w:ascii="宋体" w:hAnsi="宋体"/>
          <w:color w:val="auto"/>
          <w:sz w:val="32"/>
          <w:lang w:val="zh-CN"/>
        </w:rPr>
        <w:t>科学就医。平时主动与全科医生、家庭医生联系，遇到健康问题时，及时到医疗机构就诊，早诊断、早治疗，避免延误最佳治疗时机。根据病情和医生的建议，选择合适的医疗机构就医，小病诊疗首选基层医疗卫生机构，大病到医院。遵医嘱治疗，不轻信偏方，不相信</w:t>
      </w:r>
      <w:r>
        <w:rPr>
          <w:rFonts w:hint="default" w:ascii="宋体" w:hAnsi="宋体"/>
          <w:color w:val="auto"/>
          <w:sz w:val="32"/>
          <w:lang w:val="zh-CN"/>
        </w:rPr>
        <w:t>“</w:t>
      </w:r>
      <w:r>
        <w:rPr>
          <w:rFonts w:hint="eastAsia" w:ascii="宋体" w:hAnsi="宋体"/>
          <w:color w:val="auto"/>
          <w:sz w:val="32"/>
          <w:lang w:val="zh-CN"/>
        </w:rPr>
        <w:t>神医神药</w:t>
      </w:r>
      <w:r>
        <w:rPr>
          <w:rFonts w:hint="default" w:ascii="宋体" w:hAnsi="宋体"/>
          <w:color w:val="auto"/>
          <w:sz w:val="32"/>
          <w:lang w:val="zh-CN"/>
        </w:rPr>
        <w:t>”</w:t>
      </w:r>
      <w:r>
        <w:rPr>
          <w:rFonts w:hint="eastAsia" w:ascii="宋体" w:hAnsi="宋体"/>
          <w:color w:val="auto"/>
          <w:sz w:val="32"/>
          <w:lang w:val="zh-CN"/>
        </w:rPr>
        <w:t>。</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6.</w:t>
      </w:r>
      <w:r>
        <w:rPr>
          <w:rFonts w:hint="eastAsia" w:ascii="宋体" w:hAnsi="宋体"/>
          <w:color w:val="auto"/>
          <w:sz w:val="32"/>
          <w:lang w:val="zh-CN"/>
        </w:rPr>
        <w:t>合理用药。遵医嘱按时、按量使用药物，用药过程中如有不适及时咨询医生或药师。每次就诊时向医生或药师主动出示正在使用的药物记录和药物过敏史，避免重复用药或者有害的相互作用等不良事件的发生。服药前检查药品有效期，不使用过期药品，及时清理家庭中的过期药品。妥善存放药品，谨防儿童接触和误食。保健食品不是药品，正确选用保健食品。</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7.</w:t>
      </w:r>
      <w:r>
        <w:rPr>
          <w:rFonts w:hint="eastAsia" w:ascii="宋体" w:hAnsi="宋体"/>
          <w:color w:val="auto"/>
          <w:sz w:val="32"/>
          <w:lang w:val="zh-CN"/>
        </w:rPr>
        <w:t>营造健康家庭环境。家庭成员主动学习健康知识，树立健康理念，养成良好生活方式，互相提醒定期体检，优生优育，爱老敬老，家庭和谐，崇尚公德，邻里互助，支持公益。有婴幼儿、老人和残疾人的家庭主动参加照护培训，掌握有关护理知识和技能。提倡有经消化道传播疾病的患者家庭实行分餐制。有家族病史的家庭，有针对性地做好预防保健。配备家用急救包（含急救药品、急救设备和急救耗材等）。</w:t>
      </w:r>
    </w:p>
    <w:p>
      <w:pPr>
        <w:spacing w:beforeLines="0" w:afterLines="0" w:line="600" w:lineRule="atLeast"/>
        <w:ind w:firstLine="643"/>
        <w:rPr>
          <w:rFonts w:hint="default" w:ascii="Times New Roman" w:hAnsi="Times New Roman" w:eastAsia="Times New Roman"/>
          <w:b/>
          <w:color w:val="auto"/>
          <w:sz w:val="32"/>
          <w:lang w:val="en-US"/>
        </w:rPr>
      </w:pPr>
      <w:r>
        <w:rPr>
          <w:rFonts w:hint="default" w:ascii="宋体" w:hAnsi="宋体"/>
          <w:b/>
          <w:color w:val="auto"/>
          <w:sz w:val="32"/>
          <w:lang w:val="zh-CN"/>
        </w:rPr>
        <w:t>——</w:t>
      </w:r>
      <w:r>
        <w:rPr>
          <w:rFonts w:hint="eastAsia" w:ascii="宋体" w:hAnsi="宋体"/>
          <w:b/>
          <w:color w:val="auto"/>
          <w:sz w:val="32"/>
          <w:lang w:val="zh-CN"/>
        </w:rPr>
        <w:t>社会和政府：</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1.</w:t>
      </w:r>
      <w:r>
        <w:rPr>
          <w:rFonts w:hint="eastAsia" w:ascii="宋体" w:hAnsi="宋体"/>
          <w:color w:val="auto"/>
          <w:sz w:val="32"/>
          <w:lang w:val="zh-CN"/>
        </w:rPr>
        <w:t>建立并完善健康科普</w:t>
      </w:r>
      <w:r>
        <w:rPr>
          <w:rFonts w:hint="default" w:ascii="宋体" w:hAnsi="宋体"/>
          <w:color w:val="auto"/>
          <w:sz w:val="32"/>
          <w:lang w:val="zh-CN"/>
        </w:rPr>
        <w:t>“</w:t>
      </w:r>
      <w:r>
        <w:rPr>
          <w:rFonts w:hint="eastAsia" w:ascii="宋体" w:hAnsi="宋体"/>
          <w:color w:val="auto"/>
          <w:sz w:val="32"/>
          <w:lang w:val="zh-CN"/>
        </w:rPr>
        <w:t>两库、一机制</w:t>
      </w:r>
      <w:r>
        <w:rPr>
          <w:rFonts w:hint="default" w:ascii="宋体" w:hAnsi="宋体"/>
          <w:color w:val="auto"/>
          <w:sz w:val="32"/>
          <w:lang w:val="zh-CN"/>
        </w:rPr>
        <w:t>”</w:t>
      </w:r>
      <w:r>
        <w:rPr>
          <w:rFonts w:hint="eastAsia" w:ascii="宋体" w:hAnsi="宋体"/>
          <w:color w:val="auto"/>
          <w:sz w:val="32"/>
          <w:lang w:val="zh-CN"/>
        </w:rPr>
        <w:t>。建立并完善国家和省级健康科普专家库，开展健康科普活动。中央级媒体健康科普活动的专家应从国家科普专家库产生，省级媒体应从省级以上科普专家库产生。建立并完善国家级健康科普资源库，出版、遴选、推介一批健康科普读物和科普材料。针对重点人群、重点健康问题组织编制相关知识和信息指南，由专业机构向社会发布。构建全媒体健康科普知识发布和传播的机制，加强对健康教育内容的指导和监管，依托专业力量，加强电视、报刊健康栏目和健康医疗广告的审核和监管，以及对互联网新媒体平台健康科普信息的监测、评估和通报。对于出现问题较多的健康信息平台要依法依规勒令整改，直至关停。对于科学性强、传播效果好的健康信息，予以推广。对于传播范围广、对公众健康危害大的虚假信息，组织专家予以澄清和纠正。（卫生健康委牵头，中央宣传部、中央网信办、科技部、市场监管总局、广电总局、中医药局、药监局、中国科协按职责分工负责）</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2.</w:t>
      </w:r>
      <w:r>
        <w:rPr>
          <w:rFonts w:hint="eastAsia" w:ascii="宋体" w:hAnsi="宋体"/>
          <w:color w:val="auto"/>
          <w:sz w:val="32"/>
          <w:lang w:val="zh-CN"/>
        </w:rPr>
        <w:t>医务人员掌握与岗位相适应的健康科普知识，并在诊疗过程中主动提供健康指导。各医疗机构网站要根据本机构特色设置健康科普专栏，为社区居民提供健康讲座和咨询服务，三级医院要组建健康科普队伍，制定健康科普工作计划，建设微博微信新媒体健康科普平台。开发健康教育处方等健康科普材料，定期面向患者举办针对性强的健康知识讲座。完善全科医生、专科医生培养培训课程和教材内容，显著提高家庭医生健康促进与教育必备知识与技能。深入实施中医治未病健康工程，推广普及中医养生保健知识和易于掌握的中医养生保健技术和方法。鼓励健康适龄的公民定期参加无偿献血。（卫生健康委牵头，教育部、中医药局按职责分工负责）</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3.</w:t>
      </w:r>
      <w:r>
        <w:rPr>
          <w:rFonts w:hint="eastAsia" w:ascii="宋体" w:hAnsi="宋体"/>
          <w:color w:val="auto"/>
          <w:sz w:val="32"/>
          <w:lang w:val="zh-CN"/>
        </w:rPr>
        <w:t>建立鼓励医疗卫生机构和医务人员开展健康促进与教育的激励约束机制，调动医务人员参与健康促进与教育工作的积极性。将健康促进与教育工作纳入各级各类医疗机构绩效考核，纳入医务人员职称评定和绩效考核。完善医保支付政策，鼓励基层医疗机构和家庭签约医生团队开展健康管理服务。鼓励和引导个人践行健康生活方式，加强个人健康管理。（人力资源社会保障部、卫生健康委牵头，医保局按职责负责）</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4.</w:t>
      </w:r>
      <w:r>
        <w:rPr>
          <w:rFonts w:hint="eastAsia" w:ascii="宋体" w:hAnsi="宋体"/>
          <w:color w:val="auto"/>
          <w:sz w:val="32"/>
          <w:lang w:val="zh-CN"/>
        </w:rPr>
        <w:t>鼓励、扶持中央广电总台和各省级电台、电视台在条件成熟的情况下开办优质健康科普节目。中央广电总台对公益性健康节目和栏目，在时段、时长上给予倾斜保障，继续办好现有数字付费电视健康频道。报刊推出一批健康专栏。运用</w:t>
      </w:r>
      <w:r>
        <w:rPr>
          <w:rFonts w:hint="default" w:ascii="宋体" w:hAnsi="宋体"/>
          <w:color w:val="auto"/>
          <w:sz w:val="32"/>
          <w:lang w:val="zh-CN"/>
        </w:rPr>
        <w:t>“</w:t>
      </w:r>
      <w:r>
        <w:rPr>
          <w:rFonts w:hint="eastAsia" w:ascii="宋体" w:hAnsi="宋体"/>
          <w:color w:val="auto"/>
          <w:sz w:val="32"/>
          <w:lang w:val="zh-CN"/>
        </w:rPr>
        <w:t>两微一端</w:t>
      </w:r>
      <w:r>
        <w:rPr>
          <w:rFonts w:hint="default" w:ascii="宋体" w:hAnsi="宋体"/>
          <w:color w:val="auto"/>
          <w:sz w:val="32"/>
          <w:lang w:val="zh-CN"/>
        </w:rPr>
        <w:t>”</w:t>
      </w:r>
      <w:r>
        <w:rPr>
          <w:rFonts w:hint="eastAsia" w:ascii="宋体" w:hAnsi="宋体"/>
          <w:color w:val="auto"/>
          <w:sz w:val="32"/>
          <w:lang w:val="zh-CN"/>
        </w:rPr>
        <w:t>（指微信、微博、移动客户端）以及短视频等新媒体，推动</w:t>
      </w:r>
      <w:r>
        <w:rPr>
          <w:rFonts w:hint="default" w:ascii="宋体" w:hAnsi="宋体"/>
          <w:color w:val="auto"/>
          <w:sz w:val="32"/>
          <w:lang w:val="zh-CN"/>
        </w:rPr>
        <w:t>“</w:t>
      </w:r>
      <w:r>
        <w:rPr>
          <w:rFonts w:hint="eastAsia" w:ascii="宋体" w:hAnsi="宋体"/>
          <w:color w:val="auto"/>
          <w:sz w:val="32"/>
          <w:lang w:val="zh-CN"/>
        </w:rPr>
        <w:t>互联网</w:t>
      </w:r>
      <w:r>
        <w:rPr>
          <w:rFonts w:hint="default" w:ascii="Times New Roman" w:hAnsi="Times New Roman" w:eastAsia="Times New Roman"/>
          <w:color w:val="auto"/>
          <w:sz w:val="32"/>
          <w:lang w:val="en-US"/>
        </w:rPr>
        <w:t>+</w:t>
      </w:r>
      <w:r>
        <w:rPr>
          <w:rFonts w:hint="eastAsia" w:ascii="宋体" w:hAnsi="宋体"/>
          <w:color w:val="auto"/>
          <w:sz w:val="32"/>
          <w:lang w:val="zh-CN"/>
        </w:rPr>
        <w:t>精准健康科普</w:t>
      </w:r>
      <w:r>
        <w:rPr>
          <w:rFonts w:hint="default" w:ascii="宋体" w:hAnsi="宋体"/>
          <w:color w:val="auto"/>
          <w:sz w:val="32"/>
          <w:lang w:val="zh-CN"/>
        </w:rPr>
        <w:t>”</w:t>
      </w:r>
      <w:r>
        <w:rPr>
          <w:rFonts w:hint="eastAsia" w:ascii="宋体" w:hAnsi="宋体"/>
          <w:color w:val="auto"/>
          <w:sz w:val="32"/>
          <w:lang w:val="zh-CN"/>
        </w:rPr>
        <w:t>。（中央宣传部、中央网信办、卫生健康委、广电总局、中央广电总台、中医药局按职责分工负责）</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5.</w:t>
      </w:r>
      <w:r>
        <w:rPr>
          <w:rFonts w:hint="eastAsia" w:ascii="宋体" w:hAnsi="宋体"/>
          <w:color w:val="auto"/>
          <w:sz w:val="32"/>
          <w:lang w:val="zh-CN"/>
        </w:rPr>
        <w:t>动员更多的社会力量参与健康知识普及工作。鼓励卫生健康行业学会、协会组织专家开展多种形式的、面向公众的健康科普活动和面向机构的培训工作。各社区和单位要将针对居民和职工的健康知识普及作为一项重要工作，结合居民和职工的主要健康问题，组织健康讲座等健康传播活动。加强贫困地区人口的健康素养促进工作。（卫生健康委牵头，中医药局、全国总工会、全国妇联、中国科协按职责分工负责）</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6.</w:t>
      </w:r>
      <w:r>
        <w:rPr>
          <w:rFonts w:hint="eastAsia" w:ascii="宋体" w:hAnsi="宋体"/>
          <w:color w:val="auto"/>
          <w:sz w:val="32"/>
          <w:lang w:val="zh-CN"/>
        </w:rPr>
        <w:t>开发推广健康适宜技术和支持工具。发挥市场机制作用，鼓励研发推广健康管理类人工智能和可穿戴设备，充分利用互联网技术，在保护个人隐私的前提下，对健康状态进行实时、连续监测，实现在线实时管理、预警和行为干预，运用健康大数据提高大众自我健康管理能力。（卫生健康委、科技部、工业和信息化部按职责分工负责）</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7.</w:t>
      </w:r>
      <w:r>
        <w:rPr>
          <w:rFonts w:hint="eastAsia" w:ascii="宋体" w:hAnsi="宋体"/>
          <w:color w:val="auto"/>
          <w:sz w:val="32"/>
          <w:lang w:val="zh-CN"/>
        </w:rPr>
        <w:t>开展健康促进县（区）建设，着力提升居民健康素养。国家每年选择一个与群众密切相关的健康主题开展</w:t>
      </w:r>
      <w:r>
        <w:rPr>
          <w:rFonts w:hint="default" w:ascii="宋体" w:hAnsi="宋体"/>
          <w:color w:val="auto"/>
          <w:sz w:val="32"/>
          <w:lang w:val="zh-CN"/>
        </w:rPr>
        <w:t>“</w:t>
      </w:r>
      <w:r>
        <w:rPr>
          <w:rFonts w:hint="eastAsia" w:ascii="宋体" w:hAnsi="宋体"/>
          <w:color w:val="auto"/>
          <w:sz w:val="32"/>
          <w:lang w:val="zh-CN"/>
        </w:rPr>
        <w:t>健康中国行</w:t>
      </w:r>
      <w:r>
        <w:rPr>
          <w:rFonts w:hint="default" w:ascii="宋体" w:hAnsi="宋体"/>
          <w:color w:val="auto"/>
          <w:sz w:val="32"/>
          <w:lang w:val="zh-CN"/>
        </w:rPr>
        <w:t>”</w:t>
      </w:r>
      <w:r>
        <w:rPr>
          <w:rFonts w:hint="eastAsia" w:ascii="宋体" w:hAnsi="宋体"/>
          <w:color w:val="auto"/>
          <w:sz w:val="32"/>
          <w:lang w:val="zh-CN"/>
        </w:rPr>
        <w:t>宣传教育活动。开展</w:t>
      </w:r>
      <w:r>
        <w:rPr>
          <w:rFonts w:hint="default" w:ascii="宋体" w:hAnsi="宋体"/>
          <w:color w:val="auto"/>
          <w:sz w:val="32"/>
          <w:lang w:val="zh-CN"/>
        </w:rPr>
        <w:t>“</w:t>
      </w:r>
      <w:r>
        <w:rPr>
          <w:rFonts w:hint="eastAsia" w:ascii="宋体" w:hAnsi="宋体"/>
          <w:color w:val="auto"/>
          <w:sz w:val="32"/>
          <w:lang w:val="zh-CN"/>
        </w:rPr>
        <w:t>中医中药中国行</w:t>
      </w:r>
      <w:r>
        <w:rPr>
          <w:rFonts w:hint="default" w:ascii="宋体" w:hAnsi="宋体"/>
          <w:color w:val="auto"/>
          <w:sz w:val="32"/>
          <w:lang w:val="zh-CN"/>
        </w:rPr>
        <w:t>”</w:t>
      </w:r>
      <w:r>
        <w:rPr>
          <w:rFonts w:hint="eastAsia" w:ascii="宋体" w:hAnsi="宋体"/>
          <w:color w:val="auto"/>
          <w:sz w:val="32"/>
          <w:lang w:val="zh-CN"/>
        </w:rPr>
        <w:t>活动，推动中医药健康文化普及，传播中医养生保健知识。推进全民健康生活方式行动，强化家庭和高危个体健康生活方式指导和干预。（卫生健康委、中医药局牵头，中国科协按职责负责）</w:t>
      </w:r>
    </w:p>
    <w:p>
      <w:pPr>
        <w:spacing w:beforeLines="0" w:afterLines="0" w:line="600" w:lineRule="atLeast"/>
        <w:ind w:firstLine="643"/>
        <w:rPr>
          <w:rFonts w:hint="default" w:ascii="Times New Roman" w:hAnsi="Times New Roman" w:eastAsia="Times New Roman"/>
          <w:b/>
          <w:color w:val="auto"/>
          <w:sz w:val="32"/>
          <w:lang w:val="en-US"/>
        </w:rPr>
      </w:pPr>
      <w:r>
        <w:rPr>
          <w:rFonts w:hint="eastAsia" w:ascii="宋体" w:hAnsi="宋体"/>
          <w:b/>
          <w:color w:val="auto"/>
          <w:sz w:val="32"/>
          <w:lang w:val="zh-CN"/>
        </w:rPr>
        <w:t>（二）合理膳食行动。</w:t>
      </w:r>
    </w:p>
    <w:p>
      <w:pPr>
        <w:spacing w:beforeLines="0" w:afterLines="0" w:line="600" w:lineRule="atLeast"/>
        <w:ind w:firstLine="640"/>
        <w:rPr>
          <w:rFonts w:hint="default" w:ascii="Times New Roman" w:hAnsi="Times New Roman" w:eastAsia="Times New Roman"/>
          <w:color w:val="auto"/>
          <w:sz w:val="32"/>
          <w:lang w:val="en-US"/>
        </w:rPr>
      </w:pPr>
      <w:r>
        <w:rPr>
          <w:rFonts w:hint="eastAsia" w:ascii="宋体" w:hAnsi="宋体"/>
          <w:color w:val="auto"/>
          <w:sz w:val="32"/>
          <w:lang w:val="zh-CN"/>
        </w:rPr>
        <w:t>合理膳食是保证健康的基础。近年来，我国居民营养健康状况明显改善，但仍面临营养不足与过剩并存、营养相关疾病多发等问题。</w:t>
      </w:r>
      <w:r>
        <w:rPr>
          <w:rFonts w:hint="default" w:ascii="Times New Roman" w:hAnsi="Times New Roman" w:eastAsia="Times New Roman"/>
          <w:color w:val="auto"/>
          <w:sz w:val="32"/>
          <w:lang w:val="en-US"/>
        </w:rPr>
        <w:t>2012</w:t>
      </w:r>
      <w:r>
        <w:rPr>
          <w:rFonts w:hint="eastAsia" w:ascii="宋体" w:hAnsi="宋体"/>
          <w:color w:val="auto"/>
          <w:sz w:val="32"/>
          <w:lang w:val="zh-CN"/>
        </w:rPr>
        <w:t>年调查显示，我国居民人均每日食盐摄入量为</w:t>
      </w:r>
      <w:r>
        <w:rPr>
          <w:rFonts w:hint="default" w:ascii="Times New Roman" w:hAnsi="Times New Roman" w:eastAsia="Times New Roman"/>
          <w:color w:val="auto"/>
          <w:sz w:val="32"/>
          <w:lang w:val="en-US"/>
        </w:rPr>
        <w:t>10.5g</w:t>
      </w:r>
      <w:r>
        <w:rPr>
          <w:rFonts w:hint="eastAsia" w:ascii="宋体" w:hAnsi="宋体"/>
          <w:color w:val="auto"/>
          <w:sz w:val="32"/>
          <w:lang w:val="zh-CN"/>
        </w:rPr>
        <w:t>（世界卫生组织推荐值为</w:t>
      </w:r>
      <w:r>
        <w:rPr>
          <w:rFonts w:hint="default" w:ascii="Times New Roman" w:hAnsi="Times New Roman" w:eastAsia="Times New Roman"/>
          <w:color w:val="auto"/>
          <w:sz w:val="32"/>
          <w:lang w:val="en-US"/>
        </w:rPr>
        <w:t>5g</w:t>
      </w:r>
      <w:r>
        <w:rPr>
          <w:rFonts w:hint="eastAsia" w:ascii="宋体" w:hAnsi="宋体"/>
          <w:color w:val="auto"/>
          <w:sz w:val="32"/>
          <w:lang w:val="zh-CN"/>
        </w:rPr>
        <w:t>）；居民家庭人均每日食用油摄入量</w:t>
      </w:r>
      <w:r>
        <w:rPr>
          <w:rFonts w:hint="default" w:ascii="Times New Roman" w:hAnsi="Times New Roman" w:eastAsia="Times New Roman"/>
          <w:color w:val="auto"/>
          <w:sz w:val="32"/>
          <w:lang w:val="en-US"/>
        </w:rPr>
        <w:t>42.1g</w:t>
      </w:r>
      <w:r>
        <w:rPr>
          <w:rFonts w:hint="eastAsia" w:ascii="宋体" w:hAnsi="宋体"/>
          <w:color w:val="auto"/>
          <w:sz w:val="32"/>
          <w:lang w:val="zh-CN"/>
        </w:rPr>
        <w:t>（《中国居民膳食指南》（以下简称《膳食指南》）推荐标准为每天</w:t>
      </w:r>
      <w:r>
        <w:rPr>
          <w:rFonts w:hint="default" w:ascii="Times New Roman" w:hAnsi="Times New Roman" w:eastAsia="Times New Roman"/>
          <w:color w:val="auto"/>
          <w:sz w:val="32"/>
          <w:lang w:val="en-US"/>
        </w:rPr>
        <w:t>25</w:t>
      </w:r>
      <w:r>
        <w:rPr>
          <w:rFonts w:hint="eastAsia" w:ascii="宋体" w:hAnsi="宋体"/>
          <w:color w:val="auto"/>
          <w:sz w:val="32"/>
          <w:lang w:val="zh-CN"/>
        </w:rPr>
        <w:t>～</w:t>
      </w:r>
      <w:r>
        <w:rPr>
          <w:rFonts w:hint="default" w:ascii="Times New Roman" w:hAnsi="Times New Roman" w:eastAsia="Times New Roman"/>
          <w:color w:val="auto"/>
          <w:sz w:val="32"/>
          <w:lang w:val="en-US"/>
        </w:rPr>
        <w:t>30g</w:t>
      </w:r>
      <w:r>
        <w:rPr>
          <w:rFonts w:hint="eastAsia" w:ascii="宋体" w:hAnsi="宋体"/>
          <w:color w:val="auto"/>
          <w:sz w:val="32"/>
          <w:lang w:val="zh-CN"/>
        </w:rPr>
        <w:t>）；居民膳食脂肪提供能量比例达到</w:t>
      </w:r>
      <w:r>
        <w:rPr>
          <w:rFonts w:hint="default" w:ascii="Times New Roman" w:hAnsi="Times New Roman" w:eastAsia="Times New Roman"/>
          <w:color w:val="auto"/>
          <w:sz w:val="32"/>
          <w:lang w:val="en-US"/>
        </w:rPr>
        <w:t>32.9%</w:t>
      </w:r>
      <w:r>
        <w:rPr>
          <w:rFonts w:hint="eastAsia" w:ascii="宋体" w:hAnsi="宋体"/>
          <w:color w:val="auto"/>
          <w:sz w:val="32"/>
          <w:lang w:val="zh-CN"/>
        </w:rPr>
        <w:t>（《膳食指南》推荐值上限为</w:t>
      </w:r>
      <w:r>
        <w:rPr>
          <w:rFonts w:hint="default" w:ascii="Times New Roman" w:hAnsi="Times New Roman" w:eastAsia="Times New Roman"/>
          <w:color w:val="auto"/>
          <w:sz w:val="32"/>
          <w:lang w:val="en-US"/>
        </w:rPr>
        <w:t>30.0%</w:t>
      </w:r>
      <w:r>
        <w:rPr>
          <w:rFonts w:hint="eastAsia" w:ascii="宋体" w:hAnsi="宋体"/>
          <w:color w:val="auto"/>
          <w:sz w:val="32"/>
          <w:lang w:val="zh-CN"/>
        </w:rPr>
        <w:t>）。目前我国人均每日添加糖（主要为蔗糖即</w:t>
      </w:r>
      <w:r>
        <w:rPr>
          <w:rFonts w:hint="default" w:ascii="宋体" w:hAnsi="宋体"/>
          <w:color w:val="auto"/>
          <w:sz w:val="32"/>
          <w:lang w:val="zh-CN"/>
        </w:rPr>
        <w:t>“</w:t>
      </w:r>
      <w:r>
        <w:rPr>
          <w:rFonts w:hint="eastAsia" w:ascii="宋体" w:hAnsi="宋体"/>
          <w:color w:val="auto"/>
          <w:sz w:val="32"/>
          <w:lang w:val="zh-CN"/>
        </w:rPr>
        <w:t>白糖</w:t>
      </w:r>
      <w:r>
        <w:rPr>
          <w:rFonts w:hint="default" w:ascii="宋体" w:hAnsi="宋体"/>
          <w:color w:val="auto"/>
          <w:sz w:val="32"/>
          <w:lang w:val="zh-CN"/>
        </w:rPr>
        <w:t>”</w:t>
      </w:r>
      <w:r>
        <w:rPr>
          <w:rFonts w:hint="eastAsia" w:ascii="宋体" w:hAnsi="宋体"/>
          <w:color w:val="auto"/>
          <w:sz w:val="32"/>
          <w:lang w:val="zh-CN"/>
        </w:rPr>
        <w:t>、</w:t>
      </w:r>
      <w:r>
        <w:rPr>
          <w:rFonts w:hint="default" w:ascii="宋体" w:hAnsi="宋体"/>
          <w:color w:val="auto"/>
          <w:sz w:val="32"/>
          <w:lang w:val="zh-CN"/>
        </w:rPr>
        <w:t>“</w:t>
      </w:r>
      <w:r>
        <w:rPr>
          <w:rFonts w:hint="eastAsia" w:ascii="宋体" w:hAnsi="宋体"/>
          <w:color w:val="auto"/>
          <w:sz w:val="32"/>
          <w:lang w:val="zh-CN"/>
        </w:rPr>
        <w:t>红糖</w:t>
      </w:r>
      <w:r>
        <w:rPr>
          <w:rFonts w:hint="default" w:ascii="宋体" w:hAnsi="宋体"/>
          <w:color w:val="auto"/>
          <w:sz w:val="32"/>
          <w:lang w:val="zh-CN"/>
        </w:rPr>
        <w:t>”</w:t>
      </w:r>
      <w:r>
        <w:rPr>
          <w:rFonts w:hint="eastAsia" w:ascii="宋体" w:hAnsi="宋体"/>
          <w:color w:val="auto"/>
          <w:sz w:val="32"/>
          <w:lang w:val="zh-CN"/>
        </w:rPr>
        <w:t>等）摄入量约</w:t>
      </w:r>
      <w:r>
        <w:rPr>
          <w:rFonts w:hint="default" w:ascii="Times New Roman" w:hAnsi="Times New Roman" w:eastAsia="Times New Roman"/>
          <w:color w:val="auto"/>
          <w:sz w:val="32"/>
          <w:lang w:val="en-US"/>
        </w:rPr>
        <w:t>30g</w:t>
      </w:r>
      <w:r>
        <w:rPr>
          <w:rFonts w:hint="eastAsia" w:ascii="宋体" w:hAnsi="宋体"/>
          <w:color w:val="auto"/>
          <w:sz w:val="32"/>
          <w:lang w:val="zh-CN"/>
        </w:rPr>
        <w:t>，其中儿童、青少年摄入量问题值得高度关注。</w:t>
      </w:r>
      <w:r>
        <w:rPr>
          <w:rFonts w:hint="default" w:ascii="Times New Roman" w:hAnsi="Times New Roman" w:eastAsia="Times New Roman"/>
          <w:color w:val="auto"/>
          <w:sz w:val="32"/>
          <w:lang w:val="en-US"/>
        </w:rPr>
        <w:t>2014</w:t>
      </w:r>
      <w:r>
        <w:rPr>
          <w:rFonts w:hint="eastAsia" w:ascii="宋体" w:hAnsi="宋体"/>
          <w:color w:val="auto"/>
          <w:sz w:val="32"/>
          <w:lang w:val="zh-CN"/>
        </w:rPr>
        <w:t>年调查显示，</w:t>
      </w:r>
      <w:r>
        <w:rPr>
          <w:rFonts w:hint="default" w:ascii="Times New Roman" w:hAnsi="Times New Roman" w:eastAsia="Times New Roman"/>
          <w:color w:val="auto"/>
          <w:sz w:val="32"/>
          <w:lang w:val="en-US"/>
        </w:rPr>
        <w:t>3</w:t>
      </w:r>
      <w:r>
        <w:rPr>
          <w:rFonts w:hint="eastAsia" w:ascii="宋体" w:hAnsi="宋体"/>
          <w:color w:val="auto"/>
          <w:sz w:val="32"/>
          <w:lang w:val="zh-CN"/>
        </w:rPr>
        <w:t>～</w:t>
      </w:r>
      <w:r>
        <w:rPr>
          <w:rFonts w:hint="default" w:ascii="Times New Roman" w:hAnsi="Times New Roman" w:eastAsia="Times New Roman"/>
          <w:color w:val="auto"/>
          <w:sz w:val="32"/>
          <w:lang w:val="en-US"/>
        </w:rPr>
        <w:t>17</w:t>
      </w:r>
      <w:r>
        <w:rPr>
          <w:rFonts w:hint="eastAsia" w:ascii="宋体" w:hAnsi="宋体"/>
          <w:color w:val="auto"/>
          <w:sz w:val="32"/>
          <w:lang w:val="zh-CN"/>
        </w:rPr>
        <w:t>岁常喝饮料的儿童、青少年，仅从饮料中摄入的添加糖提供的能量就超过总能量的</w:t>
      </w:r>
      <w:r>
        <w:rPr>
          <w:rFonts w:hint="default" w:ascii="Times New Roman" w:hAnsi="Times New Roman" w:eastAsia="Times New Roman"/>
          <w:color w:val="auto"/>
          <w:sz w:val="32"/>
          <w:lang w:val="en-US"/>
        </w:rPr>
        <w:t>5%</w:t>
      </w:r>
      <w:r>
        <w:rPr>
          <w:rFonts w:hint="eastAsia" w:ascii="宋体" w:hAnsi="宋体"/>
          <w:color w:val="auto"/>
          <w:sz w:val="32"/>
          <w:lang w:val="zh-CN"/>
        </w:rPr>
        <w:t>，城市儿童远远高于农村儿童，且呈上升趋势（世界卫生组织推荐人均每日添加糖摄入低于总能量的</w:t>
      </w:r>
      <w:r>
        <w:rPr>
          <w:rFonts w:hint="default" w:ascii="Times New Roman" w:hAnsi="Times New Roman" w:eastAsia="Times New Roman"/>
          <w:color w:val="auto"/>
          <w:sz w:val="32"/>
          <w:lang w:val="en-US"/>
        </w:rPr>
        <w:t>10%</w:t>
      </w:r>
      <w:r>
        <w:rPr>
          <w:rFonts w:hint="eastAsia" w:ascii="宋体" w:hAnsi="宋体"/>
          <w:color w:val="auto"/>
          <w:sz w:val="32"/>
          <w:lang w:val="zh-CN"/>
        </w:rPr>
        <w:t>，并鼓励控制到</w:t>
      </w:r>
      <w:r>
        <w:rPr>
          <w:rFonts w:hint="default" w:ascii="Times New Roman" w:hAnsi="Times New Roman" w:eastAsia="Times New Roman"/>
          <w:color w:val="auto"/>
          <w:sz w:val="32"/>
          <w:lang w:val="en-US"/>
        </w:rPr>
        <w:t>5%</w:t>
      </w:r>
      <w:r>
        <w:rPr>
          <w:rFonts w:hint="eastAsia" w:ascii="宋体" w:hAnsi="宋体"/>
          <w:color w:val="auto"/>
          <w:sz w:val="32"/>
          <w:lang w:val="zh-CN"/>
        </w:rPr>
        <w:t>以下或不超过</w:t>
      </w:r>
      <w:r>
        <w:rPr>
          <w:rFonts w:hint="default" w:ascii="Times New Roman" w:hAnsi="Times New Roman" w:eastAsia="Times New Roman"/>
          <w:color w:val="auto"/>
          <w:sz w:val="32"/>
          <w:lang w:val="en-US"/>
        </w:rPr>
        <w:t>25g</w:t>
      </w:r>
      <w:r>
        <w:rPr>
          <w:rFonts w:hint="eastAsia" w:ascii="宋体" w:hAnsi="宋体"/>
          <w:color w:val="auto"/>
          <w:sz w:val="32"/>
          <w:lang w:val="zh-CN"/>
        </w:rPr>
        <w:t>）。与此同时，</w:t>
      </w:r>
      <w:r>
        <w:rPr>
          <w:rFonts w:hint="default" w:ascii="Times New Roman" w:hAnsi="Times New Roman" w:eastAsia="Times New Roman"/>
          <w:color w:val="auto"/>
          <w:sz w:val="32"/>
          <w:lang w:val="en-US"/>
        </w:rPr>
        <w:t>2010~2012</w:t>
      </w:r>
      <w:r>
        <w:rPr>
          <w:rFonts w:hint="eastAsia" w:ascii="宋体" w:hAnsi="宋体"/>
          <w:color w:val="auto"/>
          <w:sz w:val="32"/>
          <w:lang w:val="zh-CN"/>
        </w:rPr>
        <w:t>年，我国成人营养不良率为</w:t>
      </w:r>
      <w:r>
        <w:rPr>
          <w:rFonts w:hint="default" w:ascii="Times New Roman" w:hAnsi="Times New Roman" w:eastAsia="Times New Roman"/>
          <w:color w:val="auto"/>
          <w:sz w:val="32"/>
          <w:lang w:val="en-US"/>
        </w:rPr>
        <w:t>6%</w:t>
      </w:r>
      <w:r>
        <w:rPr>
          <w:rFonts w:hint="eastAsia" w:ascii="宋体" w:hAnsi="宋体"/>
          <w:color w:val="auto"/>
          <w:sz w:val="32"/>
          <w:lang w:val="zh-CN"/>
        </w:rPr>
        <w:t>；</w:t>
      </w:r>
      <w:r>
        <w:rPr>
          <w:rFonts w:hint="default" w:ascii="Times New Roman" w:hAnsi="Times New Roman" w:eastAsia="Times New Roman"/>
          <w:color w:val="auto"/>
          <w:sz w:val="32"/>
          <w:lang w:val="en-US"/>
        </w:rPr>
        <w:t>2013</w:t>
      </w:r>
      <w:r>
        <w:rPr>
          <w:rFonts w:hint="eastAsia" w:ascii="宋体" w:hAnsi="宋体"/>
          <w:color w:val="auto"/>
          <w:sz w:val="32"/>
          <w:lang w:val="zh-CN"/>
        </w:rPr>
        <w:t>年，</w:t>
      </w:r>
      <w:r>
        <w:rPr>
          <w:rFonts w:hint="default" w:ascii="Times New Roman" w:hAnsi="Times New Roman" w:eastAsia="Times New Roman"/>
          <w:color w:val="auto"/>
          <w:sz w:val="32"/>
          <w:lang w:val="en-US"/>
        </w:rPr>
        <w:t>5</w:t>
      </w:r>
      <w:r>
        <w:rPr>
          <w:rFonts w:hint="eastAsia" w:ascii="宋体" w:hAnsi="宋体"/>
          <w:color w:val="auto"/>
          <w:sz w:val="32"/>
          <w:lang w:val="zh-CN"/>
        </w:rPr>
        <w:t>岁以下儿童生长迟缓率为</w:t>
      </w:r>
      <w:r>
        <w:rPr>
          <w:rFonts w:hint="default" w:ascii="Times New Roman" w:hAnsi="Times New Roman" w:eastAsia="Times New Roman"/>
          <w:color w:val="auto"/>
          <w:sz w:val="32"/>
          <w:lang w:val="en-US"/>
        </w:rPr>
        <w:t>8.1%</w:t>
      </w:r>
      <w:r>
        <w:rPr>
          <w:rFonts w:hint="eastAsia" w:ascii="宋体" w:hAnsi="宋体"/>
          <w:color w:val="auto"/>
          <w:sz w:val="32"/>
          <w:lang w:val="zh-CN"/>
        </w:rPr>
        <w:t>，孕妇、儿童、老年人群贫血率仍较高，钙、铁、维生素</w:t>
      </w:r>
      <w:r>
        <w:rPr>
          <w:rFonts w:hint="default" w:ascii="Times New Roman" w:hAnsi="Times New Roman" w:eastAsia="Times New Roman"/>
          <w:color w:val="auto"/>
          <w:sz w:val="32"/>
          <w:lang w:val="en-US"/>
        </w:rPr>
        <w:t>A</w:t>
      </w:r>
      <w:r>
        <w:rPr>
          <w:rFonts w:hint="eastAsia" w:ascii="宋体" w:hAnsi="宋体"/>
          <w:color w:val="auto"/>
          <w:sz w:val="32"/>
          <w:lang w:val="zh-CN"/>
        </w:rPr>
        <w:t>、维生素</w:t>
      </w:r>
      <w:r>
        <w:rPr>
          <w:rFonts w:hint="default" w:ascii="Times New Roman" w:hAnsi="Times New Roman" w:eastAsia="Times New Roman"/>
          <w:color w:val="auto"/>
          <w:sz w:val="32"/>
          <w:lang w:val="en-US"/>
        </w:rPr>
        <w:t>D</w:t>
      </w:r>
      <w:r>
        <w:rPr>
          <w:rFonts w:hint="eastAsia" w:ascii="宋体" w:hAnsi="宋体"/>
          <w:color w:val="auto"/>
          <w:sz w:val="32"/>
          <w:lang w:val="zh-CN"/>
        </w:rPr>
        <w:t>等微量营养素缺乏依然存在，膳食纤维摄入明显不足。</w:t>
      </w:r>
    </w:p>
    <w:p>
      <w:pPr>
        <w:spacing w:beforeLines="0" w:afterLines="0" w:line="600" w:lineRule="atLeast"/>
        <w:ind w:firstLine="640"/>
        <w:rPr>
          <w:rFonts w:hint="default" w:ascii="Times New Roman" w:hAnsi="Times New Roman" w:eastAsia="Times New Roman"/>
          <w:color w:val="auto"/>
          <w:sz w:val="32"/>
          <w:lang w:val="en-US"/>
        </w:rPr>
      </w:pPr>
      <w:r>
        <w:rPr>
          <w:rFonts w:hint="eastAsia" w:ascii="宋体" w:hAnsi="宋体"/>
          <w:color w:val="auto"/>
          <w:sz w:val="32"/>
          <w:lang w:val="zh-CN"/>
        </w:rPr>
        <w:t>高盐、高糖、高脂等不健康饮食是引起肥胖、心脑血管疾病、糖尿病及其他代谢性疾病和肿瘤的危险因素。</w:t>
      </w:r>
      <w:r>
        <w:rPr>
          <w:rFonts w:hint="default" w:ascii="Times New Roman" w:hAnsi="Times New Roman" w:eastAsia="Times New Roman"/>
          <w:color w:val="auto"/>
          <w:sz w:val="32"/>
          <w:lang w:val="en-US"/>
        </w:rPr>
        <w:t>2016</w:t>
      </w:r>
      <w:r>
        <w:rPr>
          <w:rFonts w:hint="eastAsia" w:ascii="宋体" w:hAnsi="宋体"/>
          <w:color w:val="auto"/>
          <w:sz w:val="32"/>
          <w:lang w:val="zh-CN"/>
        </w:rPr>
        <w:t>年全球疾病负担研究结果显示，饮食因素导致的疾病负担占到</w:t>
      </w:r>
      <w:r>
        <w:rPr>
          <w:rFonts w:hint="default" w:ascii="Times New Roman" w:hAnsi="Times New Roman" w:eastAsia="Times New Roman"/>
          <w:color w:val="auto"/>
          <w:sz w:val="32"/>
          <w:lang w:val="en-US"/>
        </w:rPr>
        <w:t>15.9%</w:t>
      </w:r>
      <w:r>
        <w:rPr>
          <w:rFonts w:hint="eastAsia" w:ascii="宋体" w:hAnsi="宋体"/>
          <w:color w:val="auto"/>
          <w:sz w:val="32"/>
          <w:lang w:val="zh-CN"/>
        </w:rPr>
        <w:t>，已成为影响人群健康的重要危险因素。</w:t>
      </w:r>
      <w:r>
        <w:rPr>
          <w:rFonts w:hint="default" w:ascii="Times New Roman" w:hAnsi="Times New Roman" w:eastAsia="Times New Roman"/>
          <w:color w:val="auto"/>
          <w:sz w:val="32"/>
          <w:lang w:val="en-US"/>
        </w:rPr>
        <w:t>2012</w:t>
      </w:r>
      <w:r>
        <w:rPr>
          <w:rFonts w:hint="eastAsia" w:ascii="宋体" w:hAnsi="宋体"/>
          <w:color w:val="auto"/>
          <w:sz w:val="32"/>
          <w:lang w:val="zh-CN"/>
        </w:rPr>
        <w:t>年全国</w:t>
      </w:r>
      <w:r>
        <w:rPr>
          <w:rFonts w:hint="default" w:ascii="Times New Roman" w:hAnsi="Times New Roman" w:eastAsia="Times New Roman"/>
          <w:color w:val="auto"/>
          <w:sz w:val="32"/>
          <w:lang w:val="en-US"/>
        </w:rPr>
        <w:t>18</w:t>
      </w:r>
      <w:r>
        <w:rPr>
          <w:rFonts w:hint="eastAsia" w:ascii="宋体" w:hAnsi="宋体"/>
          <w:color w:val="auto"/>
          <w:sz w:val="32"/>
          <w:lang w:val="zh-CN"/>
        </w:rPr>
        <w:t>岁及以上成人超重率为</w:t>
      </w:r>
      <w:r>
        <w:rPr>
          <w:rFonts w:hint="default" w:ascii="Times New Roman" w:hAnsi="Times New Roman" w:eastAsia="Times New Roman"/>
          <w:color w:val="auto"/>
          <w:sz w:val="32"/>
          <w:lang w:val="en-US"/>
        </w:rPr>
        <w:t>30.1%</w:t>
      </w:r>
      <w:r>
        <w:rPr>
          <w:rFonts w:hint="eastAsia" w:ascii="宋体" w:hAnsi="宋体"/>
          <w:color w:val="auto"/>
          <w:sz w:val="32"/>
          <w:lang w:val="zh-CN"/>
        </w:rPr>
        <w:t>，肥胖率为</w:t>
      </w:r>
      <w:r>
        <w:rPr>
          <w:rFonts w:hint="default" w:ascii="Times New Roman" w:hAnsi="Times New Roman" w:eastAsia="Times New Roman"/>
          <w:color w:val="auto"/>
          <w:sz w:val="32"/>
          <w:lang w:val="en-US"/>
        </w:rPr>
        <w:t>11.9%</w:t>
      </w:r>
      <w:r>
        <w:rPr>
          <w:rFonts w:hint="eastAsia" w:ascii="宋体" w:hAnsi="宋体"/>
          <w:color w:val="auto"/>
          <w:sz w:val="32"/>
          <w:lang w:val="zh-CN"/>
        </w:rPr>
        <w:t>，与</w:t>
      </w:r>
      <w:r>
        <w:rPr>
          <w:rFonts w:hint="default" w:ascii="Times New Roman" w:hAnsi="Times New Roman" w:eastAsia="Times New Roman"/>
          <w:color w:val="auto"/>
          <w:sz w:val="32"/>
          <w:lang w:val="en-US"/>
        </w:rPr>
        <w:t>2002</w:t>
      </w:r>
      <w:r>
        <w:rPr>
          <w:rFonts w:hint="eastAsia" w:ascii="宋体" w:hAnsi="宋体"/>
          <w:color w:val="auto"/>
          <w:sz w:val="32"/>
          <w:lang w:val="zh-CN"/>
        </w:rPr>
        <w:t>年相比分别增长了</w:t>
      </w:r>
      <w:r>
        <w:rPr>
          <w:rFonts w:hint="default" w:ascii="Times New Roman" w:hAnsi="Times New Roman" w:eastAsia="Times New Roman"/>
          <w:color w:val="auto"/>
          <w:sz w:val="32"/>
          <w:lang w:val="en-US"/>
        </w:rPr>
        <w:t>32.0%</w:t>
      </w:r>
      <w:r>
        <w:rPr>
          <w:rFonts w:hint="eastAsia" w:ascii="宋体" w:hAnsi="宋体"/>
          <w:color w:val="auto"/>
          <w:sz w:val="32"/>
          <w:lang w:val="zh-CN"/>
        </w:rPr>
        <w:t>和</w:t>
      </w:r>
      <w:r>
        <w:rPr>
          <w:rFonts w:hint="default" w:ascii="Times New Roman" w:hAnsi="Times New Roman" w:eastAsia="Times New Roman"/>
          <w:color w:val="auto"/>
          <w:sz w:val="32"/>
          <w:lang w:val="en-US"/>
        </w:rPr>
        <w:t>67.6%</w:t>
      </w:r>
      <w:r>
        <w:rPr>
          <w:rFonts w:hint="eastAsia" w:ascii="宋体" w:hAnsi="宋体"/>
          <w:color w:val="auto"/>
          <w:sz w:val="32"/>
          <w:lang w:val="zh-CN"/>
        </w:rPr>
        <w:t>；</w:t>
      </w:r>
      <w:r>
        <w:rPr>
          <w:rFonts w:hint="default" w:ascii="Times New Roman" w:hAnsi="Times New Roman" w:eastAsia="Times New Roman"/>
          <w:color w:val="auto"/>
          <w:sz w:val="32"/>
          <w:lang w:val="en-US"/>
        </w:rPr>
        <w:t>6</w:t>
      </w:r>
      <w:r>
        <w:rPr>
          <w:rFonts w:hint="eastAsia" w:ascii="宋体" w:hAnsi="宋体"/>
          <w:color w:val="auto"/>
          <w:sz w:val="32"/>
          <w:lang w:val="zh-CN"/>
        </w:rPr>
        <w:t>～</w:t>
      </w:r>
      <w:r>
        <w:rPr>
          <w:rFonts w:hint="default" w:ascii="Times New Roman" w:hAnsi="Times New Roman" w:eastAsia="Times New Roman"/>
          <w:color w:val="auto"/>
          <w:sz w:val="32"/>
          <w:lang w:val="en-US"/>
        </w:rPr>
        <w:t>17</w:t>
      </w:r>
      <w:r>
        <w:rPr>
          <w:rFonts w:hint="eastAsia" w:ascii="宋体" w:hAnsi="宋体"/>
          <w:color w:val="auto"/>
          <w:sz w:val="32"/>
          <w:lang w:val="zh-CN"/>
        </w:rPr>
        <w:t>岁儿童青少年超重率为</w:t>
      </w:r>
      <w:r>
        <w:rPr>
          <w:rFonts w:hint="default" w:ascii="Times New Roman" w:hAnsi="Times New Roman" w:eastAsia="Times New Roman"/>
          <w:color w:val="auto"/>
          <w:sz w:val="32"/>
          <w:lang w:val="en-US"/>
        </w:rPr>
        <w:t>9.6%</w:t>
      </w:r>
      <w:r>
        <w:rPr>
          <w:rFonts w:hint="eastAsia" w:ascii="宋体" w:hAnsi="宋体"/>
          <w:color w:val="auto"/>
          <w:sz w:val="32"/>
          <w:lang w:val="zh-CN"/>
        </w:rPr>
        <w:t>，肥胖率为</w:t>
      </w:r>
      <w:r>
        <w:rPr>
          <w:rFonts w:hint="default" w:ascii="Times New Roman" w:hAnsi="Times New Roman" w:eastAsia="Times New Roman"/>
          <w:color w:val="auto"/>
          <w:sz w:val="32"/>
          <w:lang w:val="en-US"/>
        </w:rPr>
        <w:t>6.4%</w:t>
      </w:r>
      <w:r>
        <w:rPr>
          <w:rFonts w:hint="eastAsia" w:ascii="宋体" w:hAnsi="宋体"/>
          <w:color w:val="auto"/>
          <w:sz w:val="32"/>
          <w:lang w:val="zh-CN"/>
        </w:rPr>
        <w:t>，与</w:t>
      </w:r>
      <w:r>
        <w:rPr>
          <w:rFonts w:hint="default" w:ascii="Times New Roman" w:hAnsi="Times New Roman" w:eastAsia="Times New Roman"/>
          <w:color w:val="auto"/>
          <w:sz w:val="32"/>
          <w:lang w:val="en-US"/>
        </w:rPr>
        <w:t>2002</w:t>
      </w:r>
      <w:r>
        <w:rPr>
          <w:rFonts w:hint="eastAsia" w:ascii="宋体" w:hAnsi="宋体"/>
          <w:color w:val="auto"/>
          <w:sz w:val="32"/>
          <w:lang w:val="zh-CN"/>
        </w:rPr>
        <w:t>年相比分别增加了</w:t>
      </w:r>
      <w:r>
        <w:rPr>
          <w:rFonts w:hint="default" w:ascii="Times New Roman" w:hAnsi="Times New Roman" w:eastAsia="Times New Roman"/>
          <w:color w:val="auto"/>
          <w:sz w:val="32"/>
          <w:lang w:val="en-US"/>
        </w:rPr>
        <w:t>1</w:t>
      </w:r>
      <w:r>
        <w:rPr>
          <w:rFonts w:hint="eastAsia" w:ascii="宋体" w:hAnsi="宋体"/>
          <w:color w:val="auto"/>
          <w:sz w:val="32"/>
          <w:lang w:val="zh-CN"/>
        </w:rPr>
        <w:t>倍和</w:t>
      </w:r>
      <w:r>
        <w:rPr>
          <w:rFonts w:hint="default" w:ascii="Times New Roman" w:hAnsi="Times New Roman" w:eastAsia="Times New Roman"/>
          <w:color w:val="auto"/>
          <w:sz w:val="32"/>
          <w:lang w:val="en-US"/>
        </w:rPr>
        <w:t>2</w:t>
      </w:r>
      <w:r>
        <w:rPr>
          <w:rFonts w:hint="eastAsia" w:ascii="宋体" w:hAnsi="宋体"/>
          <w:color w:val="auto"/>
          <w:sz w:val="32"/>
          <w:lang w:val="zh-CN"/>
        </w:rPr>
        <w:t>倍。合理膳食以及减少每日食用油、盐、糖摄入量，有助于降低肥胖、糖尿病、高血压、脑卒中、冠心病等疾病的患病风险。</w:t>
      </w:r>
    </w:p>
    <w:p>
      <w:pPr>
        <w:spacing w:beforeLines="0" w:afterLines="0" w:line="600" w:lineRule="atLeast"/>
        <w:ind w:firstLine="640"/>
        <w:rPr>
          <w:rFonts w:hint="default" w:ascii="Times New Roman" w:hAnsi="Times New Roman" w:eastAsia="Times New Roman"/>
          <w:color w:val="auto"/>
          <w:sz w:val="32"/>
          <w:lang w:val="en-US"/>
        </w:rPr>
      </w:pPr>
      <w:r>
        <w:rPr>
          <w:rFonts w:hint="eastAsia" w:ascii="宋体" w:hAnsi="宋体"/>
          <w:color w:val="auto"/>
          <w:sz w:val="32"/>
          <w:lang w:val="zh-CN"/>
        </w:rPr>
        <w:t>行动目标：</w:t>
      </w:r>
    </w:p>
    <w:p>
      <w:pPr>
        <w:spacing w:beforeLines="0" w:afterLines="0" w:line="600" w:lineRule="atLeast"/>
        <w:ind w:firstLine="640"/>
        <w:rPr>
          <w:rFonts w:hint="default" w:ascii="Times New Roman" w:hAnsi="Times New Roman" w:eastAsia="Times New Roman"/>
          <w:color w:val="auto"/>
          <w:sz w:val="32"/>
          <w:lang w:val="en-US"/>
        </w:rPr>
      </w:pPr>
      <w:r>
        <w:rPr>
          <w:rFonts w:hint="eastAsia" w:ascii="宋体" w:hAnsi="宋体"/>
          <w:color w:val="auto"/>
          <w:sz w:val="32"/>
          <w:lang w:val="zh-CN"/>
        </w:rPr>
        <w:t>到</w:t>
      </w:r>
      <w:r>
        <w:rPr>
          <w:rFonts w:hint="default" w:ascii="Times New Roman" w:hAnsi="Times New Roman" w:eastAsia="Times New Roman"/>
          <w:color w:val="auto"/>
          <w:sz w:val="32"/>
          <w:lang w:val="en-US"/>
        </w:rPr>
        <w:t>2022</w:t>
      </w:r>
      <w:r>
        <w:rPr>
          <w:rFonts w:hint="eastAsia" w:ascii="宋体" w:hAnsi="宋体"/>
          <w:color w:val="auto"/>
          <w:sz w:val="32"/>
          <w:lang w:val="zh-CN"/>
        </w:rPr>
        <w:t>年和</w:t>
      </w:r>
      <w:r>
        <w:rPr>
          <w:rFonts w:hint="default" w:ascii="Times New Roman" w:hAnsi="Times New Roman" w:eastAsia="Times New Roman"/>
          <w:color w:val="auto"/>
          <w:sz w:val="32"/>
          <w:lang w:val="en-US"/>
        </w:rPr>
        <w:t>2030</w:t>
      </w:r>
      <w:r>
        <w:rPr>
          <w:rFonts w:hint="eastAsia" w:ascii="宋体" w:hAnsi="宋体"/>
          <w:color w:val="auto"/>
          <w:sz w:val="32"/>
          <w:lang w:val="zh-CN"/>
        </w:rPr>
        <w:t>年，成人肥胖增长率持续减缓；居民营养健康知识知晓率分别在</w:t>
      </w:r>
      <w:r>
        <w:rPr>
          <w:rFonts w:hint="default" w:ascii="Times New Roman" w:hAnsi="Times New Roman" w:eastAsia="Times New Roman"/>
          <w:color w:val="auto"/>
          <w:sz w:val="32"/>
          <w:lang w:val="en-US"/>
        </w:rPr>
        <w:t>2019</w:t>
      </w:r>
      <w:r>
        <w:rPr>
          <w:rFonts w:hint="eastAsia" w:ascii="宋体" w:hAnsi="宋体"/>
          <w:color w:val="auto"/>
          <w:sz w:val="32"/>
          <w:lang w:val="zh-CN"/>
        </w:rPr>
        <w:t>年基础上提高</w:t>
      </w:r>
      <w:r>
        <w:rPr>
          <w:rFonts w:hint="default" w:ascii="Times New Roman" w:hAnsi="Times New Roman" w:eastAsia="Times New Roman"/>
          <w:color w:val="auto"/>
          <w:sz w:val="32"/>
          <w:lang w:val="en-US"/>
        </w:rPr>
        <w:t>10%</w:t>
      </w:r>
      <w:r>
        <w:rPr>
          <w:rFonts w:hint="eastAsia" w:ascii="宋体" w:hAnsi="宋体"/>
          <w:color w:val="auto"/>
          <w:sz w:val="32"/>
          <w:lang w:val="zh-CN"/>
        </w:rPr>
        <w:t>和在</w:t>
      </w:r>
      <w:r>
        <w:rPr>
          <w:rFonts w:hint="default" w:ascii="Times New Roman" w:hAnsi="Times New Roman" w:eastAsia="Times New Roman"/>
          <w:color w:val="auto"/>
          <w:sz w:val="32"/>
          <w:lang w:val="en-US"/>
        </w:rPr>
        <w:t>2022</w:t>
      </w:r>
      <w:r>
        <w:rPr>
          <w:rFonts w:hint="eastAsia" w:ascii="宋体" w:hAnsi="宋体"/>
          <w:color w:val="auto"/>
          <w:sz w:val="32"/>
          <w:lang w:val="zh-CN"/>
        </w:rPr>
        <w:t>年基础上提高</w:t>
      </w:r>
      <w:r>
        <w:rPr>
          <w:rFonts w:hint="default" w:ascii="Times New Roman" w:hAnsi="Times New Roman" w:eastAsia="Times New Roman"/>
          <w:color w:val="auto"/>
          <w:sz w:val="32"/>
          <w:lang w:val="en-US"/>
        </w:rPr>
        <w:t>10%</w:t>
      </w:r>
      <w:r>
        <w:rPr>
          <w:rFonts w:hint="eastAsia" w:ascii="宋体" w:hAnsi="宋体"/>
          <w:color w:val="auto"/>
          <w:sz w:val="32"/>
          <w:lang w:val="zh-CN"/>
        </w:rPr>
        <w:t>；</w:t>
      </w:r>
      <w:r>
        <w:rPr>
          <w:rFonts w:hint="default" w:ascii="Times New Roman" w:hAnsi="Times New Roman" w:eastAsia="Times New Roman"/>
          <w:color w:val="auto"/>
          <w:sz w:val="32"/>
          <w:lang w:val="en-US"/>
        </w:rPr>
        <w:t>5</w:t>
      </w:r>
      <w:r>
        <w:rPr>
          <w:rFonts w:hint="eastAsia" w:ascii="宋体" w:hAnsi="宋体"/>
          <w:color w:val="auto"/>
          <w:sz w:val="32"/>
          <w:lang w:val="zh-CN"/>
        </w:rPr>
        <w:t>岁以下儿童生长迟缓率分别低于</w:t>
      </w:r>
      <w:r>
        <w:rPr>
          <w:rFonts w:hint="default" w:ascii="Times New Roman" w:hAnsi="Times New Roman" w:eastAsia="Times New Roman"/>
          <w:color w:val="auto"/>
          <w:sz w:val="32"/>
          <w:lang w:val="en-US"/>
        </w:rPr>
        <w:t>7%</w:t>
      </w:r>
      <w:r>
        <w:rPr>
          <w:rFonts w:hint="eastAsia" w:ascii="宋体" w:hAnsi="宋体"/>
          <w:color w:val="auto"/>
          <w:sz w:val="32"/>
          <w:lang w:val="zh-CN"/>
        </w:rPr>
        <w:t>和</w:t>
      </w:r>
      <w:r>
        <w:rPr>
          <w:rFonts w:hint="default" w:ascii="Times New Roman" w:hAnsi="Times New Roman" w:eastAsia="Times New Roman"/>
          <w:color w:val="auto"/>
          <w:sz w:val="32"/>
          <w:lang w:val="en-US"/>
        </w:rPr>
        <w:t>5%</w:t>
      </w:r>
      <w:r>
        <w:rPr>
          <w:rFonts w:hint="eastAsia" w:ascii="宋体" w:hAnsi="宋体"/>
          <w:color w:val="auto"/>
          <w:sz w:val="32"/>
          <w:lang w:val="zh-CN"/>
        </w:rPr>
        <w:t>、贫血率分别低于</w:t>
      </w:r>
      <w:r>
        <w:rPr>
          <w:rFonts w:hint="default" w:ascii="Times New Roman" w:hAnsi="Times New Roman" w:eastAsia="Times New Roman"/>
          <w:color w:val="auto"/>
          <w:sz w:val="32"/>
          <w:lang w:val="en-US"/>
        </w:rPr>
        <w:t>12%</w:t>
      </w:r>
      <w:r>
        <w:rPr>
          <w:rFonts w:hint="eastAsia" w:ascii="宋体" w:hAnsi="宋体"/>
          <w:color w:val="auto"/>
          <w:sz w:val="32"/>
          <w:lang w:val="zh-CN"/>
        </w:rPr>
        <w:t>和</w:t>
      </w:r>
      <w:r>
        <w:rPr>
          <w:rFonts w:hint="default" w:ascii="Times New Roman" w:hAnsi="Times New Roman" w:eastAsia="Times New Roman"/>
          <w:color w:val="auto"/>
          <w:sz w:val="32"/>
          <w:lang w:val="en-US"/>
        </w:rPr>
        <w:t>10%</w:t>
      </w:r>
      <w:r>
        <w:rPr>
          <w:rFonts w:hint="eastAsia" w:ascii="宋体" w:hAnsi="宋体"/>
          <w:color w:val="auto"/>
          <w:sz w:val="32"/>
          <w:lang w:val="zh-CN"/>
        </w:rPr>
        <w:t>，孕妇贫血率分别低于</w:t>
      </w:r>
      <w:r>
        <w:rPr>
          <w:rFonts w:hint="default" w:ascii="Times New Roman" w:hAnsi="Times New Roman" w:eastAsia="Times New Roman"/>
          <w:color w:val="auto"/>
          <w:sz w:val="32"/>
          <w:lang w:val="en-US"/>
        </w:rPr>
        <w:t>14%</w:t>
      </w:r>
      <w:r>
        <w:rPr>
          <w:rFonts w:hint="eastAsia" w:ascii="宋体" w:hAnsi="宋体"/>
          <w:color w:val="auto"/>
          <w:sz w:val="32"/>
          <w:lang w:val="zh-CN"/>
        </w:rPr>
        <w:t>和</w:t>
      </w:r>
      <w:r>
        <w:rPr>
          <w:rFonts w:hint="default" w:ascii="Times New Roman" w:hAnsi="Times New Roman" w:eastAsia="Times New Roman"/>
          <w:color w:val="auto"/>
          <w:sz w:val="32"/>
          <w:lang w:val="en-US"/>
        </w:rPr>
        <w:t>10%</w:t>
      </w:r>
      <w:r>
        <w:rPr>
          <w:rFonts w:hint="eastAsia" w:ascii="宋体" w:hAnsi="宋体"/>
          <w:color w:val="auto"/>
          <w:sz w:val="32"/>
          <w:lang w:val="zh-CN"/>
        </w:rPr>
        <w:t>；合格碘盐覆盖率均达到</w:t>
      </w:r>
      <w:r>
        <w:rPr>
          <w:rFonts w:hint="default" w:ascii="Times New Roman" w:hAnsi="Times New Roman" w:eastAsia="Times New Roman"/>
          <w:color w:val="auto"/>
          <w:sz w:val="32"/>
          <w:lang w:val="en-US"/>
        </w:rPr>
        <w:t>90%</w:t>
      </w:r>
      <w:r>
        <w:rPr>
          <w:rFonts w:hint="eastAsia" w:ascii="宋体" w:hAnsi="宋体"/>
          <w:color w:val="auto"/>
          <w:sz w:val="32"/>
          <w:lang w:val="zh-CN"/>
        </w:rPr>
        <w:t>及以上；成人脂肪供能比下降到</w:t>
      </w:r>
      <w:r>
        <w:rPr>
          <w:rFonts w:hint="default" w:ascii="Times New Roman" w:hAnsi="Times New Roman" w:eastAsia="Times New Roman"/>
          <w:color w:val="auto"/>
          <w:sz w:val="32"/>
          <w:lang w:val="en-US"/>
        </w:rPr>
        <w:t>32%</w:t>
      </w:r>
      <w:r>
        <w:rPr>
          <w:rFonts w:hint="eastAsia" w:ascii="宋体" w:hAnsi="宋体"/>
          <w:color w:val="auto"/>
          <w:sz w:val="32"/>
          <w:lang w:val="zh-CN"/>
        </w:rPr>
        <w:t>和</w:t>
      </w:r>
      <w:r>
        <w:rPr>
          <w:rFonts w:hint="default" w:ascii="Times New Roman" w:hAnsi="Times New Roman" w:eastAsia="Times New Roman"/>
          <w:color w:val="auto"/>
          <w:sz w:val="32"/>
          <w:lang w:val="en-US"/>
        </w:rPr>
        <w:t>30%</w:t>
      </w:r>
      <w:r>
        <w:rPr>
          <w:rFonts w:hint="eastAsia" w:ascii="宋体" w:hAnsi="宋体"/>
          <w:color w:val="auto"/>
          <w:sz w:val="32"/>
          <w:lang w:val="zh-CN"/>
        </w:rPr>
        <w:t>；每</w:t>
      </w:r>
      <w:r>
        <w:rPr>
          <w:rFonts w:hint="default" w:ascii="Times New Roman" w:hAnsi="Times New Roman" w:eastAsia="Times New Roman"/>
          <w:color w:val="auto"/>
          <w:sz w:val="32"/>
          <w:lang w:val="en-US"/>
        </w:rPr>
        <w:t>1</w:t>
      </w:r>
      <w:r>
        <w:rPr>
          <w:rFonts w:hint="eastAsia" w:ascii="宋体" w:hAnsi="宋体"/>
          <w:color w:val="auto"/>
          <w:sz w:val="32"/>
          <w:lang w:val="zh-CN"/>
        </w:rPr>
        <w:t>万人配备</w:t>
      </w:r>
      <w:r>
        <w:rPr>
          <w:rFonts w:hint="default" w:ascii="Times New Roman" w:hAnsi="Times New Roman" w:eastAsia="Times New Roman"/>
          <w:color w:val="auto"/>
          <w:sz w:val="32"/>
          <w:lang w:val="en-US"/>
        </w:rPr>
        <w:t>1</w:t>
      </w:r>
      <w:r>
        <w:rPr>
          <w:rFonts w:hint="eastAsia" w:ascii="宋体" w:hAnsi="宋体"/>
          <w:color w:val="auto"/>
          <w:sz w:val="32"/>
          <w:lang w:val="zh-CN"/>
        </w:rPr>
        <w:t>名营养指导员；实施农村义务教育学生营养改善计划和贫困地区儿童营养改善项目；实施以食品安全为基础的营养健康标准，推进营养标准体系建设。</w:t>
      </w:r>
    </w:p>
    <w:p>
      <w:pPr>
        <w:spacing w:beforeLines="0" w:afterLines="0" w:line="600" w:lineRule="atLeast"/>
        <w:ind w:firstLine="640"/>
        <w:rPr>
          <w:rFonts w:hint="default" w:ascii="Times New Roman" w:hAnsi="Times New Roman" w:eastAsia="Times New Roman"/>
          <w:color w:val="auto"/>
          <w:sz w:val="32"/>
          <w:lang w:val="en-US"/>
        </w:rPr>
      </w:pPr>
      <w:r>
        <w:rPr>
          <w:rFonts w:hint="eastAsia" w:ascii="宋体" w:hAnsi="宋体"/>
          <w:color w:val="auto"/>
          <w:sz w:val="32"/>
          <w:lang w:val="zh-CN"/>
        </w:rPr>
        <w:t>提倡人均每日食盐摄入量不高于</w:t>
      </w:r>
      <w:r>
        <w:rPr>
          <w:rFonts w:hint="default" w:ascii="Times New Roman" w:hAnsi="Times New Roman" w:eastAsia="Times New Roman"/>
          <w:color w:val="auto"/>
          <w:sz w:val="32"/>
          <w:lang w:val="en-US"/>
        </w:rPr>
        <w:t>5g</w:t>
      </w:r>
      <w:r>
        <w:rPr>
          <w:rFonts w:hint="eastAsia" w:ascii="宋体" w:hAnsi="宋体"/>
          <w:color w:val="auto"/>
          <w:sz w:val="32"/>
          <w:lang w:val="zh-CN"/>
        </w:rPr>
        <w:t>，成人人均每日食用油摄入量不高于</w:t>
      </w:r>
      <w:r>
        <w:rPr>
          <w:rFonts w:hint="default" w:ascii="Times New Roman" w:hAnsi="Times New Roman" w:eastAsia="Times New Roman"/>
          <w:color w:val="auto"/>
          <w:sz w:val="32"/>
          <w:lang w:val="en-US"/>
        </w:rPr>
        <w:t>25</w:t>
      </w:r>
      <w:r>
        <w:rPr>
          <w:rFonts w:hint="eastAsia" w:ascii="宋体" w:hAnsi="宋体"/>
          <w:color w:val="auto"/>
          <w:sz w:val="32"/>
          <w:lang w:val="zh-CN"/>
        </w:rPr>
        <w:t>～</w:t>
      </w:r>
      <w:r>
        <w:rPr>
          <w:rFonts w:hint="default" w:ascii="Times New Roman" w:hAnsi="Times New Roman" w:eastAsia="Times New Roman"/>
          <w:color w:val="auto"/>
          <w:sz w:val="32"/>
          <w:lang w:val="en-US"/>
        </w:rPr>
        <w:t>30g</w:t>
      </w:r>
      <w:r>
        <w:rPr>
          <w:rFonts w:hint="eastAsia" w:ascii="宋体" w:hAnsi="宋体"/>
          <w:color w:val="auto"/>
          <w:sz w:val="32"/>
          <w:lang w:val="zh-CN"/>
        </w:rPr>
        <w:t>，人均每日添加糖摄入量不高于</w:t>
      </w:r>
      <w:r>
        <w:rPr>
          <w:rFonts w:hint="default" w:ascii="Times New Roman" w:hAnsi="Times New Roman" w:eastAsia="Times New Roman"/>
          <w:color w:val="auto"/>
          <w:sz w:val="32"/>
          <w:lang w:val="en-US"/>
        </w:rPr>
        <w:t>25g</w:t>
      </w:r>
      <w:r>
        <w:rPr>
          <w:rFonts w:hint="eastAsia" w:ascii="宋体" w:hAnsi="宋体"/>
          <w:color w:val="auto"/>
          <w:sz w:val="32"/>
          <w:lang w:val="zh-CN"/>
        </w:rPr>
        <w:t>，蔬菜和水果每日摄入量不低于</w:t>
      </w:r>
      <w:r>
        <w:rPr>
          <w:rFonts w:hint="default" w:ascii="Times New Roman" w:hAnsi="Times New Roman" w:eastAsia="Times New Roman"/>
          <w:color w:val="auto"/>
          <w:sz w:val="32"/>
          <w:lang w:val="en-US"/>
        </w:rPr>
        <w:t>500g</w:t>
      </w:r>
      <w:r>
        <w:rPr>
          <w:rFonts w:hint="eastAsia" w:ascii="宋体" w:hAnsi="宋体"/>
          <w:color w:val="auto"/>
          <w:sz w:val="32"/>
          <w:lang w:val="zh-CN"/>
        </w:rPr>
        <w:t>，每日摄入食物种类不少于</w:t>
      </w:r>
      <w:r>
        <w:rPr>
          <w:rFonts w:hint="default" w:ascii="Times New Roman" w:hAnsi="Times New Roman" w:eastAsia="Times New Roman"/>
          <w:color w:val="auto"/>
          <w:sz w:val="32"/>
          <w:lang w:val="en-US"/>
        </w:rPr>
        <w:t>12</w:t>
      </w:r>
      <w:r>
        <w:rPr>
          <w:rFonts w:hint="eastAsia" w:ascii="宋体" w:hAnsi="宋体"/>
          <w:color w:val="auto"/>
          <w:sz w:val="32"/>
          <w:lang w:val="zh-CN"/>
        </w:rPr>
        <w:t>种，每周不少于</w:t>
      </w:r>
      <w:r>
        <w:rPr>
          <w:rFonts w:hint="default" w:ascii="Times New Roman" w:hAnsi="Times New Roman" w:eastAsia="Times New Roman"/>
          <w:color w:val="auto"/>
          <w:sz w:val="32"/>
          <w:lang w:val="en-US"/>
        </w:rPr>
        <w:t>25</w:t>
      </w:r>
      <w:r>
        <w:rPr>
          <w:rFonts w:hint="eastAsia" w:ascii="宋体" w:hAnsi="宋体"/>
          <w:color w:val="auto"/>
          <w:sz w:val="32"/>
          <w:lang w:val="zh-CN"/>
        </w:rPr>
        <w:t>种；成年人维持健康体重，将体重指数（</w:t>
      </w:r>
      <w:r>
        <w:rPr>
          <w:rFonts w:hint="default" w:ascii="Times New Roman" w:hAnsi="Times New Roman" w:eastAsia="Times New Roman"/>
          <w:color w:val="auto"/>
          <w:sz w:val="32"/>
          <w:lang w:val="en-US"/>
        </w:rPr>
        <w:t>BMI</w:t>
      </w:r>
      <w:r>
        <w:rPr>
          <w:rFonts w:hint="eastAsia" w:ascii="宋体" w:hAnsi="宋体"/>
          <w:color w:val="auto"/>
          <w:sz w:val="32"/>
          <w:lang w:val="zh-CN"/>
        </w:rPr>
        <w:t>）控制在</w:t>
      </w:r>
      <w:r>
        <w:rPr>
          <w:rFonts w:hint="default" w:ascii="Times New Roman" w:hAnsi="Times New Roman" w:eastAsia="Times New Roman"/>
          <w:color w:val="auto"/>
          <w:sz w:val="32"/>
          <w:lang w:val="en-US"/>
        </w:rPr>
        <w:t>18.5</w:t>
      </w:r>
      <w:r>
        <w:rPr>
          <w:rFonts w:hint="eastAsia" w:ascii="宋体" w:hAnsi="宋体"/>
          <w:color w:val="auto"/>
          <w:sz w:val="32"/>
          <w:lang w:val="zh-CN"/>
        </w:rPr>
        <w:t>～</w:t>
      </w:r>
      <w:r>
        <w:rPr>
          <w:rFonts w:hint="default" w:ascii="Times New Roman" w:hAnsi="Times New Roman" w:eastAsia="Times New Roman"/>
          <w:color w:val="auto"/>
          <w:sz w:val="32"/>
          <w:lang w:val="en-US"/>
        </w:rPr>
        <w:t>24 kg/</w:t>
      </w:r>
      <w:r>
        <w:rPr>
          <w:rFonts w:hint="eastAsia" w:ascii="宋体" w:hAnsi="宋体"/>
          <w:color w:val="auto"/>
          <w:sz w:val="32"/>
          <w:lang w:val="zh-CN"/>
        </w:rPr>
        <w:t>㎡；成人男性腰围小于</w:t>
      </w:r>
      <w:r>
        <w:rPr>
          <w:rFonts w:hint="default" w:ascii="Times New Roman" w:hAnsi="Times New Roman" w:eastAsia="Times New Roman"/>
          <w:color w:val="auto"/>
          <w:sz w:val="32"/>
          <w:lang w:val="en-US"/>
        </w:rPr>
        <w:t>85cm</w:t>
      </w:r>
      <w:r>
        <w:rPr>
          <w:rFonts w:hint="eastAsia" w:ascii="宋体" w:hAnsi="宋体"/>
          <w:color w:val="auto"/>
          <w:sz w:val="32"/>
          <w:lang w:val="zh-CN"/>
        </w:rPr>
        <w:t>，女性小于</w:t>
      </w:r>
      <w:r>
        <w:rPr>
          <w:rFonts w:hint="default" w:ascii="Times New Roman" w:hAnsi="Times New Roman" w:eastAsia="Times New Roman"/>
          <w:color w:val="auto"/>
          <w:sz w:val="32"/>
          <w:lang w:val="en-US"/>
        </w:rPr>
        <w:t>80cm</w:t>
      </w:r>
      <w:r>
        <w:rPr>
          <w:rFonts w:hint="eastAsia" w:ascii="宋体" w:hAnsi="宋体"/>
          <w:color w:val="auto"/>
          <w:sz w:val="32"/>
          <w:lang w:val="zh-CN"/>
        </w:rPr>
        <w:t>。</w:t>
      </w:r>
    </w:p>
    <w:p>
      <w:pPr>
        <w:spacing w:beforeLines="0" w:afterLines="0" w:line="600" w:lineRule="atLeast"/>
        <w:ind w:firstLine="643"/>
        <w:rPr>
          <w:rFonts w:hint="default" w:ascii="Times New Roman" w:hAnsi="Times New Roman" w:eastAsia="Times New Roman"/>
          <w:color w:val="auto"/>
          <w:sz w:val="32"/>
          <w:lang w:val="en-US"/>
        </w:rPr>
      </w:pPr>
      <w:r>
        <w:rPr>
          <w:rFonts w:hint="default" w:ascii="宋体" w:hAnsi="宋体"/>
          <w:b/>
          <w:color w:val="auto"/>
          <w:sz w:val="32"/>
          <w:lang w:val="zh-CN"/>
        </w:rPr>
        <w:t>——</w:t>
      </w:r>
      <w:r>
        <w:rPr>
          <w:rFonts w:hint="eastAsia" w:ascii="宋体" w:hAnsi="宋体"/>
          <w:b/>
          <w:color w:val="auto"/>
          <w:sz w:val="32"/>
          <w:lang w:val="zh-CN"/>
        </w:rPr>
        <w:t>个人和家庭：</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1.</w:t>
      </w:r>
      <w:r>
        <w:rPr>
          <w:rFonts w:hint="eastAsia" w:ascii="宋体" w:hAnsi="宋体"/>
          <w:color w:val="auto"/>
          <w:sz w:val="32"/>
          <w:lang w:val="zh-CN"/>
        </w:rPr>
        <w:t>对于一般人群。学习中国居民膳食科学知识，使用中国居民平衡膳食宝塔、平衡膳食餐盘等支持性工具，根据个人特点合理搭配食物。每天的膳食包括谷薯类、蔬菜水果类、畜禽鱼蛋奶类、大豆坚果类等食物，平均每天摄入</w:t>
      </w:r>
      <w:r>
        <w:rPr>
          <w:rFonts w:hint="default" w:ascii="Times New Roman" w:hAnsi="Times New Roman" w:eastAsia="Times New Roman"/>
          <w:color w:val="auto"/>
          <w:sz w:val="32"/>
          <w:lang w:val="en-US"/>
        </w:rPr>
        <w:t>12</w:t>
      </w:r>
      <w:r>
        <w:rPr>
          <w:rFonts w:hint="eastAsia" w:ascii="宋体" w:hAnsi="宋体"/>
          <w:color w:val="auto"/>
          <w:sz w:val="32"/>
          <w:lang w:val="zh-CN"/>
        </w:rPr>
        <w:t>种以上食物，每周</w:t>
      </w:r>
      <w:r>
        <w:rPr>
          <w:rFonts w:hint="default" w:ascii="Times New Roman" w:hAnsi="Times New Roman" w:eastAsia="Times New Roman"/>
          <w:color w:val="auto"/>
          <w:sz w:val="32"/>
          <w:lang w:val="en-US"/>
        </w:rPr>
        <w:t>25</w:t>
      </w:r>
      <w:r>
        <w:rPr>
          <w:rFonts w:hint="eastAsia" w:ascii="宋体" w:hAnsi="宋体"/>
          <w:color w:val="auto"/>
          <w:sz w:val="32"/>
          <w:lang w:val="zh-CN"/>
        </w:rPr>
        <w:t>种以上。不能生吃的食材要做熟后食用；生吃蔬菜水果等食品要洗净。生、熟食品要分开存放和加工。日常用餐时宜细嚼慢咽，保持心情平和，食不过量，但也要注意避免因过度节食影响必要营养素摄入。少吃肥肉、烟熏和腌制肉制品，少吃高盐和油炸食品，控制添加糖的摄入量。足量饮水，成年人一般每天</w:t>
      </w:r>
      <w:r>
        <w:rPr>
          <w:rFonts w:hint="default" w:ascii="Times New Roman" w:hAnsi="Times New Roman" w:eastAsia="Times New Roman"/>
          <w:color w:val="auto"/>
          <w:sz w:val="32"/>
          <w:lang w:val="en-US"/>
        </w:rPr>
        <w:t>7</w:t>
      </w:r>
      <w:r>
        <w:rPr>
          <w:rFonts w:hint="eastAsia" w:ascii="宋体" w:hAnsi="宋体"/>
          <w:color w:val="auto"/>
          <w:sz w:val="32"/>
          <w:lang w:val="zh-CN"/>
        </w:rPr>
        <w:t>～</w:t>
      </w:r>
      <w:r>
        <w:rPr>
          <w:rFonts w:hint="default" w:ascii="Times New Roman" w:hAnsi="Times New Roman" w:eastAsia="Times New Roman"/>
          <w:color w:val="auto"/>
          <w:sz w:val="32"/>
          <w:lang w:val="en-US"/>
        </w:rPr>
        <w:t>8</w:t>
      </w:r>
      <w:r>
        <w:rPr>
          <w:rFonts w:hint="eastAsia" w:ascii="宋体" w:hAnsi="宋体"/>
          <w:color w:val="auto"/>
          <w:sz w:val="32"/>
          <w:lang w:val="zh-CN"/>
        </w:rPr>
        <w:t>杯（</w:t>
      </w:r>
      <w:r>
        <w:rPr>
          <w:rFonts w:hint="default" w:ascii="Times New Roman" w:hAnsi="Times New Roman" w:eastAsia="Times New Roman"/>
          <w:color w:val="auto"/>
          <w:sz w:val="32"/>
          <w:lang w:val="en-US"/>
        </w:rPr>
        <w:t>1500</w:t>
      </w:r>
      <w:r>
        <w:rPr>
          <w:rFonts w:hint="eastAsia" w:ascii="宋体" w:hAnsi="宋体"/>
          <w:color w:val="auto"/>
          <w:sz w:val="32"/>
          <w:lang w:val="zh-CN"/>
        </w:rPr>
        <w:t>～</w:t>
      </w:r>
      <w:r>
        <w:rPr>
          <w:rFonts w:hint="default" w:ascii="Times New Roman" w:hAnsi="Times New Roman" w:eastAsia="Times New Roman"/>
          <w:color w:val="auto"/>
          <w:sz w:val="32"/>
          <w:lang w:val="en-US"/>
        </w:rPr>
        <w:t>1700ml</w:t>
      </w:r>
      <w:r>
        <w:rPr>
          <w:rFonts w:hint="eastAsia" w:ascii="宋体" w:hAnsi="宋体"/>
          <w:color w:val="auto"/>
          <w:sz w:val="32"/>
          <w:lang w:val="zh-CN"/>
        </w:rPr>
        <w:t>），提倡饮用白开水或茶水，少喝含糖饮料；儿童少年、孕妇、乳母不应饮酒。</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2.</w:t>
      </w:r>
      <w:r>
        <w:rPr>
          <w:rFonts w:hint="eastAsia" w:ascii="宋体" w:hAnsi="宋体"/>
          <w:color w:val="auto"/>
          <w:sz w:val="32"/>
          <w:lang w:val="zh-CN"/>
        </w:rPr>
        <w:t>对于超重（</w:t>
      </w:r>
      <w:r>
        <w:rPr>
          <w:rFonts w:hint="default" w:ascii="Times New Roman" w:hAnsi="Times New Roman" w:eastAsia="Times New Roman"/>
          <w:color w:val="auto"/>
          <w:sz w:val="32"/>
          <w:lang w:val="en-US"/>
        </w:rPr>
        <w:t>24 kg/m</w:t>
      </w:r>
      <w:r>
        <w:rPr>
          <w:rFonts w:hint="default" w:ascii="Times New Roman" w:hAnsi="Times New Roman" w:eastAsia="Times New Roman"/>
          <w:color w:val="auto"/>
          <w:sz w:val="32"/>
          <w:vertAlign w:val="superscript"/>
          <w:lang w:val="en-US"/>
        </w:rPr>
        <w:t>2</w:t>
      </w:r>
      <w:r>
        <w:rPr>
          <w:rFonts w:hint="eastAsia" w:ascii="宋体" w:hAnsi="宋体"/>
          <w:color w:val="auto"/>
          <w:sz w:val="32"/>
          <w:lang w:val="zh-CN"/>
        </w:rPr>
        <w:t>≤</w:t>
      </w:r>
      <w:r>
        <w:rPr>
          <w:rFonts w:hint="default" w:ascii="Times New Roman" w:hAnsi="Times New Roman" w:eastAsia="Times New Roman"/>
          <w:color w:val="auto"/>
          <w:sz w:val="32"/>
          <w:lang w:val="en-US"/>
        </w:rPr>
        <w:t>BMI&lt;28 kg/m</w:t>
      </w:r>
      <w:r>
        <w:rPr>
          <w:rFonts w:hint="default" w:ascii="Times New Roman" w:hAnsi="Times New Roman" w:eastAsia="Times New Roman"/>
          <w:color w:val="auto"/>
          <w:sz w:val="32"/>
          <w:vertAlign w:val="superscript"/>
          <w:lang w:val="en-US"/>
        </w:rPr>
        <w:t>2</w:t>
      </w:r>
      <w:r>
        <w:rPr>
          <w:rFonts w:hint="eastAsia" w:ascii="宋体" w:hAnsi="宋体"/>
          <w:color w:val="auto"/>
          <w:sz w:val="32"/>
          <w:lang w:val="zh-CN"/>
        </w:rPr>
        <w:t>）、肥胖（</w:t>
      </w:r>
      <w:r>
        <w:rPr>
          <w:rFonts w:hint="default" w:ascii="Times New Roman" w:hAnsi="Times New Roman" w:eastAsia="Times New Roman"/>
          <w:color w:val="auto"/>
          <w:sz w:val="32"/>
          <w:lang w:val="en-US"/>
        </w:rPr>
        <w:t>BMI</w:t>
      </w:r>
      <w:r>
        <w:rPr>
          <w:rFonts w:hint="eastAsia" w:ascii="宋体" w:hAnsi="宋体"/>
          <w:color w:val="auto"/>
          <w:sz w:val="32"/>
          <w:lang w:val="zh-CN"/>
        </w:rPr>
        <w:t>≥</w:t>
      </w:r>
      <w:r>
        <w:rPr>
          <w:rFonts w:hint="default" w:ascii="Times New Roman" w:hAnsi="Times New Roman" w:eastAsia="Times New Roman"/>
          <w:color w:val="auto"/>
          <w:sz w:val="32"/>
          <w:lang w:val="en-US"/>
        </w:rPr>
        <w:t>28 kg/m</w:t>
      </w:r>
      <w:r>
        <w:rPr>
          <w:rFonts w:hint="default" w:ascii="Times New Roman" w:hAnsi="Times New Roman" w:eastAsia="Times New Roman"/>
          <w:color w:val="auto"/>
          <w:sz w:val="32"/>
          <w:vertAlign w:val="superscript"/>
          <w:lang w:val="en-US"/>
        </w:rPr>
        <w:t>2</w:t>
      </w:r>
      <w:r>
        <w:rPr>
          <w:rFonts w:hint="eastAsia" w:ascii="宋体" w:hAnsi="宋体"/>
          <w:color w:val="auto"/>
          <w:sz w:val="32"/>
          <w:lang w:val="zh-CN"/>
        </w:rPr>
        <w:t>）的成年人群。减少能量摄入，增加新鲜蔬菜和水果在膳食中的比重，适当选择一些富含优质蛋白质（如瘦肉、鱼、蛋白和豆类）的食物。避免吃油腻食物和油炸食品，少吃零食和甜食，不喝或少喝含糖饮料。进食有规律，不要漏餐，不暴饮暴食，七八分饱即可。</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3.</w:t>
      </w:r>
      <w:r>
        <w:rPr>
          <w:rFonts w:hint="eastAsia" w:ascii="宋体" w:hAnsi="宋体"/>
          <w:color w:val="auto"/>
          <w:sz w:val="32"/>
          <w:lang w:val="zh-CN"/>
        </w:rPr>
        <w:t>对于贫血、消瘦等营养不良人群。建议要在合理膳食的基础上，适当增加瘦肉类、奶蛋类、大豆和豆制品的摄入，保持膳食的多样性，满足身体对蛋白质、钙、铁、维生素</w:t>
      </w:r>
      <w:r>
        <w:rPr>
          <w:rFonts w:hint="default" w:ascii="Times New Roman" w:hAnsi="Times New Roman" w:eastAsia="Times New Roman"/>
          <w:color w:val="auto"/>
          <w:sz w:val="32"/>
          <w:lang w:val="en-US"/>
        </w:rPr>
        <w:t>A</w:t>
      </w:r>
      <w:r>
        <w:rPr>
          <w:rFonts w:hint="eastAsia" w:ascii="宋体" w:hAnsi="宋体"/>
          <w:color w:val="auto"/>
          <w:sz w:val="32"/>
          <w:lang w:val="zh-CN"/>
        </w:rPr>
        <w:t>、维生素</w:t>
      </w:r>
      <w:r>
        <w:rPr>
          <w:rFonts w:hint="default" w:ascii="Times New Roman" w:hAnsi="Times New Roman" w:eastAsia="Times New Roman"/>
          <w:color w:val="auto"/>
          <w:sz w:val="32"/>
          <w:lang w:val="en-US"/>
        </w:rPr>
        <w:t>D</w:t>
      </w:r>
      <w:r>
        <w:rPr>
          <w:rFonts w:hint="eastAsia" w:ascii="宋体" w:hAnsi="宋体"/>
          <w:color w:val="auto"/>
          <w:sz w:val="32"/>
          <w:lang w:val="zh-CN"/>
        </w:rPr>
        <w:t>、维生素</w:t>
      </w:r>
      <w:r>
        <w:rPr>
          <w:rFonts w:hint="default" w:ascii="Times New Roman" w:hAnsi="Times New Roman" w:eastAsia="Times New Roman"/>
          <w:color w:val="auto"/>
          <w:sz w:val="32"/>
          <w:lang w:val="en-US"/>
        </w:rPr>
        <w:t>B</w:t>
      </w:r>
      <w:r>
        <w:rPr>
          <w:rFonts w:hint="default" w:ascii="Times New Roman" w:hAnsi="Times New Roman" w:eastAsia="Times New Roman"/>
          <w:color w:val="auto"/>
          <w:sz w:val="32"/>
          <w:vertAlign w:val="subscript"/>
          <w:lang w:val="en-US"/>
        </w:rPr>
        <w:t>12</w:t>
      </w:r>
      <w:r>
        <w:rPr>
          <w:rFonts w:hint="eastAsia" w:ascii="宋体" w:hAnsi="宋体"/>
          <w:color w:val="auto"/>
          <w:sz w:val="32"/>
          <w:lang w:val="zh-CN"/>
        </w:rPr>
        <w:t>、叶酸等营养素的需求；增加含铁食物的摄入或者在医生指导下补充铁剂来纠正贫血。</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4.</w:t>
      </w:r>
      <w:r>
        <w:rPr>
          <w:rFonts w:hint="eastAsia" w:ascii="宋体" w:hAnsi="宋体"/>
          <w:color w:val="auto"/>
          <w:sz w:val="32"/>
          <w:lang w:val="zh-CN"/>
        </w:rPr>
        <w:t>对于孕产妇和家有婴幼儿的人群。建议学习了解孕期妇女膳食、哺乳期妇女膳食和婴幼儿喂养等相关知识，特别关注生命早期</w:t>
      </w:r>
      <w:r>
        <w:rPr>
          <w:rFonts w:hint="default" w:ascii="Times New Roman" w:hAnsi="Times New Roman" w:eastAsia="Times New Roman"/>
          <w:color w:val="auto"/>
          <w:sz w:val="32"/>
          <w:lang w:val="en-US"/>
        </w:rPr>
        <w:t>1000</w:t>
      </w:r>
      <w:r>
        <w:rPr>
          <w:rFonts w:hint="eastAsia" w:ascii="宋体" w:hAnsi="宋体"/>
          <w:color w:val="auto"/>
          <w:sz w:val="32"/>
          <w:lang w:val="zh-CN"/>
        </w:rPr>
        <w:t>天（从怀孕开始到婴儿出生后的</w:t>
      </w:r>
      <w:r>
        <w:rPr>
          <w:rFonts w:hint="default" w:ascii="Times New Roman" w:hAnsi="Times New Roman" w:eastAsia="Times New Roman"/>
          <w:color w:val="auto"/>
          <w:sz w:val="32"/>
          <w:lang w:val="en-US"/>
        </w:rPr>
        <w:t>2</w:t>
      </w:r>
      <w:r>
        <w:rPr>
          <w:rFonts w:hint="eastAsia" w:ascii="宋体" w:hAnsi="宋体"/>
          <w:color w:val="auto"/>
          <w:sz w:val="32"/>
          <w:lang w:val="zh-CN"/>
        </w:rPr>
        <w:t>周岁）的营养。孕妇常吃含铁丰富的食物，增加富含优质蛋白质及维生素</w:t>
      </w:r>
      <w:r>
        <w:rPr>
          <w:rFonts w:hint="default" w:ascii="Times New Roman" w:hAnsi="Times New Roman" w:eastAsia="Times New Roman"/>
          <w:color w:val="auto"/>
          <w:sz w:val="32"/>
          <w:lang w:val="en-US"/>
        </w:rPr>
        <w:t>A</w:t>
      </w:r>
      <w:r>
        <w:rPr>
          <w:rFonts w:hint="eastAsia" w:ascii="宋体" w:hAnsi="宋体"/>
          <w:color w:val="auto"/>
          <w:sz w:val="32"/>
          <w:lang w:val="zh-CN"/>
        </w:rPr>
        <w:t>的动物性食物和海产品，选用碘盐，确保怀孕期间铁、碘、叶酸等的足量摄入。尽量纯母乳喂养</w:t>
      </w:r>
      <w:r>
        <w:rPr>
          <w:rFonts w:hint="default" w:ascii="Times New Roman" w:hAnsi="Times New Roman" w:eastAsia="Times New Roman"/>
          <w:color w:val="auto"/>
          <w:sz w:val="32"/>
          <w:lang w:val="en-US"/>
        </w:rPr>
        <w:t>6</w:t>
      </w:r>
      <w:r>
        <w:rPr>
          <w:rFonts w:hint="eastAsia" w:ascii="宋体" w:hAnsi="宋体"/>
          <w:color w:val="auto"/>
          <w:sz w:val="32"/>
          <w:lang w:val="zh-CN"/>
        </w:rPr>
        <w:t>个月，为</w:t>
      </w:r>
      <w:r>
        <w:rPr>
          <w:rFonts w:hint="default" w:ascii="Times New Roman" w:hAnsi="Times New Roman" w:eastAsia="Times New Roman"/>
          <w:color w:val="auto"/>
          <w:sz w:val="32"/>
          <w:lang w:val="en-US"/>
        </w:rPr>
        <w:t>6</w:t>
      </w:r>
      <w:r>
        <w:rPr>
          <w:rFonts w:hint="eastAsia" w:ascii="宋体" w:hAnsi="宋体"/>
          <w:color w:val="auto"/>
          <w:sz w:val="32"/>
          <w:lang w:val="zh-CN"/>
        </w:rPr>
        <w:t>～</w:t>
      </w:r>
      <w:r>
        <w:rPr>
          <w:rFonts w:hint="default" w:ascii="Times New Roman" w:hAnsi="Times New Roman" w:eastAsia="Times New Roman"/>
          <w:color w:val="auto"/>
          <w:sz w:val="32"/>
          <w:lang w:val="en-US"/>
        </w:rPr>
        <w:t>24</w:t>
      </w:r>
      <w:r>
        <w:rPr>
          <w:rFonts w:hint="eastAsia" w:ascii="宋体" w:hAnsi="宋体"/>
          <w:color w:val="auto"/>
          <w:sz w:val="32"/>
          <w:lang w:val="zh-CN"/>
        </w:rPr>
        <w:t>个月的婴幼儿合理添加辅食。</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5.</w:t>
      </w:r>
      <w:r>
        <w:rPr>
          <w:rFonts w:hint="eastAsia" w:ascii="宋体" w:hAnsi="宋体"/>
          <w:color w:val="auto"/>
          <w:sz w:val="32"/>
          <w:lang w:val="zh-CN"/>
        </w:rPr>
        <w:t>对于家庭。提倡按需购买食物，合理储存；选择新鲜、卫生、当季的食物，采取适宜的烹调方式；按需备餐，小份量食物；学会选购食品看标签；在外点餐根据人数确定数量，集体用餐时采取分餐、简餐、份饭；倡导在家吃饭，与家人一起分享食物和享受亲情，传承和发扬我国优良饮食文化。</w:t>
      </w:r>
    </w:p>
    <w:p>
      <w:pPr>
        <w:spacing w:beforeLines="0" w:afterLines="0" w:line="600" w:lineRule="atLeast"/>
        <w:ind w:firstLine="643"/>
        <w:rPr>
          <w:rFonts w:hint="default" w:ascii="Times New Roman" w:hAnsi="Times New Roman" w:eastAsia="Times New Roman"/>
          <w:b/>
          <w:color w:val="auto"/>
          <w:sz w:val="32"/>
          <w:lang w:val="en-US"/>
        </w:rPr>
      </w:pPr>
      <w:r>
        <w:rPr>
          <w:rFonts w:hint="default" w:ascii="宋体" w:hAnsi="宋体"/>
          <w:b/>
          <w:color w:val="auto"/>
          <w:sz w:val="32"/>
          <w:lang w:val="zh-CN"/>
        </w:rPr>
        <w:t>——</w:t>
      </w:r>
      <w:r>
        <w:rPr>
          <w:rFonts w:hint="eastAsia" w:ascii="宋体" w:hAnsi="宋体"/>
          <w:b/>
          <w:color w:val="auto"/>
          <w:sz w:val="32"/>
          <w:lang w:val="zh-CN"/>
        </w:rPr>
        <w:t>社会：</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1.</w:t>
      </w:r>
      <w:r>
        <w:rPr>
          <w:rFonts w:hint="eastAsia" w:ascii="宋体" w:hAnsi="宋体"/>
          <w:color w:val="auto"/>
          <w:sz w:val="32"/>
          <w:lang w:val="zh-CN"/>
        </w:rPr>
        <w:t>推动营养健康科普宣教活动常态化，鼓励全社会共同参与全民营养周、</w:t>
      </w:r>
      <w:r>
        <w:rPr>
          <w:rFonts w:hint="default" w:ascii="宋体" w:hAnsi="宋体"/>
          <w:color w:val="auto"/>
          <w:sz w:val="32"/>
          <w:lang w:val="zh-CN"/>
        </w:rPr>
        <w:t>“</w:t>
      </w:r>
      <w:r>
        <w:rPr>
          <w:rFonts w:hint="eastAsia" w:ascii="宋体" w:hAnsi="宋体"/>
          <w:color w:val="auto"/>
          <w:sz w:val="32"/>
          <w:lang w:val="zh-CN"/>
        </w:rPr>
        <w:t>三减三健</w:t>
      </w:r>
      <w:r>
        <w:rPr>
          <w:rFonts w:hint="default" w:ascii="宋体" w:hAnsi="宋体"/>
          <w:color w:val="auto"/>
          <w:sz w:val="32"/>
          <w:lang w:val="zh-CN"/>
        </w:rPr>
        <w:t>”</w:t>
      </w:r>
      <w:r>
        <w:rPr>
          <w:rFonts w:hint="eastAsia" w:ascii="宋体" w:hAnsi="宋体"/>
          <w:color w:val="auto"/>
          <w:sz w:val="32"/>
          <w:lang w:val="zh-CN"/>
        </w:rPr>
        <w:t>（减盐、减油、减糖，健康口腔、健康体重、健康骨骼）等宣教活动。推广使用健康</w:t>
      </w:r>
      <w:r>
        <w:rPr>
          <w:rFonts w:hint="default" w:ascii="宋体" w:hAnsi="宋体"/>
          <w:color w:val="auto"/>
          <w:sz w:val="32"/>
          <w:lang w:val="zh-CN"/>
        </w:rPr>
        <w:t>“</w:t>
      </w:r>
      <w:r>
        <w:rPr>
          <w:rFonts w:hint="eastAsia" w:ascii="宋体" w:hAnsi="宋体"/>
          <w:color w:val="auto"/>
          <w:sz w:val="32"/>
          <w:lang w:val="zh-CN"/>
        </w:rPr>
        <w:t>小三件</w:t>
      </w:r>
      <w:r>
        <w:rPr>
          <w:rFonts w:hint="default" w:ascii="宋体" w:hAnsi="宋体"/>
          <w:color w:val="auto"/>
          <w:sz w:val="32"/>
          <w:lang w:val="zh-CN"/>
        </w:rPr>
        <w:t>”</w:t>
      </w:r>
      <w:r>
        <w:rPr>
          <w:rFonts w:hint="eastAsia" w:ascii="宋体" w:hAnsi="宋体"/>
          <w:color w:val="auto"/>
          <w:sz w:val="32"/>
          <w:lang w:val="zh-CN"/>
        </w:rPr>
        <w:t>（限量盐勺、限量油壶和健康腰围尺），提高家庭普及率，鼓励专业行业组织指导家庭正确使用。尽快研究制定我国儿童添加蔗糖摄入的限量指导，倡导天然甜味物质和甜味剂饮料替代饮用。</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2.</w:t>
      </w:r>
      <w:r>
        <w:rPr>
          <w:rFonts w:hint="eastAsia" w:ascii="宋体" w:hAnsi="宋体"/>
          <w:color w:val="auto"/>
          <w:sz w:val="32"/>
          <w:lang w:val="zh-CN"/>
        </w:rPr>
        <w:t>加强对食品企业的营养标签知识指导，指导消费者正确认读营养标签，提高居民营养标签知晓率。鼓励消费者减少蔗糖摄入量。倡导食品生产经营者使用食品安全标准允许使用的天然甜味物质和甜味剂取代蔗糖。科学减少加工食品中的蔗糖含量。提倡城市高糖摄入人群减少食用含蔗糖饮料和甜食，选择天然甜味物质和甜味剂替代蔗糖生产的饮料和食品。</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3.</w:t>
      </w:r>
      <w:r>
        <w:rPr>
          <w:rFonts w:hint="eastAsia" w:ascii="宋体" w:hAnsi="宋体"/>
          <w:color w:val="auto"/>
          <w:sz w:val="32"/>
          <w:lang w:val="zh-CN"/>
        </w:rPr>
        <w:t>鼓励生产、销售低钠盐，并在专家指导下推广使用。做好低钠盐慎用人群（高温作业者、重体力劳动强度工作者、肾功能障碍者及服用降压药物的高血压患者等不适宜高钾摄入人群）提示预警。引导企业在食盐、食用油生产销售中配套用量控制措施（如在盐袋中赠送</w:t>
      </w:r>
      <w:r>
        <w:rPr>
          <w:rFonts w:hint="default" w:ascii="Times New Roman" w:hAnsi="Times New Roman" w:eastAsia="Times New Roman"/>
          <w:color w:val="auto"/>
          <w:sz w:val="32"/>
          <w:lang w:val="en-US"/>
        </w:rPr>
        <w:t>2g</w:t>
      </w:r>
      <w:r>
        <w:rPr>
          <w:rFonts w:hint="eastAsia" w:ascii="宋体" w:hAnsi="宋体"/>
          <w:color w:val="auto"/>
          <w:sz w:val="32"/>
          <w:lang w:val="zh-CN"/>
        </w:rPr>
        <w:t>量勺、生产限量油壶和带刻度油壶等），鼓励有条件的地方先行试点。鼓励商店（超市）开设低脂、低盐、低糖食品专柜。</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4.</w:t>
      </w:r>
      <w:r>
        <w:rPr>
          <w:rFonts w:hint="eastAsia" w:ascii="宋体" w:hAnsi="宋体"/>
          <w:color w:val="auto"/>
          <w:sz w:val="32"/>
          <w:lang w:val="zh-CN"/>
        </w:rPr>
        <w:t>鼓励食堂和餐厅配备专兼职营养师，定期对管理和从业人员开展营养、平衡膳食和食品安全相关的技能培训、考核；提前在显著位置公布食谱，标注份量和营养素含量并简要描述营养成分；鼓励为不同营养状况的人群推荐相应食谱。</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5.</w:t>
      </w:r>
      <w:r>
        <w:rPr>
          <w:rFonts w:hint="eastAsia" w:ascii="宋体" w:hAnsi="宋体"/>
          <w:color w:val="auto"/>
          <w:sz w:val="32"/>
          <w:lang w:val="zh-CN"/>
        </w:rPr>
        <w:t>制定实施集体供餐单位营养操作规范，开展示范健康食堂和健康餐厅创建活动。鼓励餐饮业、集体食堂向消费者提供营养标识。鼓励发布适合不同年龄、不同地域人群的平衡膳食指导和食谱。鼓励发展传统食养服务，推进传统食养产品的研发以及产业升级换代。</w:t>
      </w:r>
    </w:p>
    <w:p>
      <w:pPr>
        <w:spacing w:beforeLines="0" w:afterLines="0" w:line="600" w:lineRule="atLeast"/>
        <w:ind w:firstLine="643"/>
        <w:rPr>
          <w:rFonts w:hint="default" w:ascii="Times New Roman" w:hAnsi="Times New Roman" w:eastAsia="Times New Roman"/>
          <w:b/>
          <w:color w:val="auto"/>
          <w:sz w:val="32"/>
          <w:lang w:val="en-US"/>
        </w:rPr>
      </w:pPr>
      <w:r>
        <w:rPr>
          <w:rFonts w:hint="default" w:ascii="宋体" w:hAnsi="宋体"/>
          <w:b/>
          <w:color w:val="auto"/>
          <w:sz w:val="32"/>
          <w:lang w:val="zh-CN"/>
        </w:rPr>
        <w:t>——</w:t>
      </w:r>
      <w:r>
        <w:rPr>
          <w:rFonts w:hint="eastAsia" w:ascii="宋体" w:hAnsi="宋体"/>
          <w:b/>
          <w:color w:val="auto"/>
          <w:sz w:val="32"/>
          <w:lang w:val="zh-CN"/>
        </w:rPr>
        <w:t>政府：</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1.</w:t>
      </w:r>
      <w:r>
        <w:rPr>
          <w:rFonts w:hint="eastAsia" w:ascii="宋体" w:hAnsi="宋体"/>
          <w:color w:val="auto"/>
          <w:sz w:val="32"/>
          <w:lang w:val="zh-CN"/>
        </w:rPr>
        <w:t>全面推动实施《国民营养计划（</w:t>
      </w:r>
      <w:r>
        <w:rPr>
          <w:rFonts w:hint="default" w:ascii="Times New Roman" w:hAnsi="Times New Roman" w:eastAsia="Times New Roman"/>
          <w:color w:val="auto"/>
          <w:sz w:val="32"/>
          <w:lang w:val="en-US"/>
        </w:rPr>
        <w:t>2017</w:t>
      </w:r>
      <w:r>
        <w:rPr>
          <w:rFonts w:hint="default" w:ascii="宋体" w:hAnsi="宋体"/>
          <w:color w:val="auto"/>
          <w:sz w:val="32"/>
          <w:lang w:val="zh-CN"/>
        </w:rPr>
        <w:t>—</w:t>
      </w:r>
      <w:r>
        <w:rPr>
          <w:rFonts w:hint="default" w:ascii="Times New Roman" w:hAnsi="Times New Roman" w:eastAsia="Times New Roman"/>
          <w:color w:val="auto"/>
          <w:sz w:val="32"/>
          <w:lang w:val="en-US"/>
        </w:rPr>
        <w:t>2030</w:t>
      </w:r>
      <w:r>
        <w:rPr>
          <w:rFonts w:hint="eastAsia" w:ascii="宋体" w:hAnsi="宋体"/>
          <w:color w:val="auto"/>
          <w:sz w:val="32"/>
          <w:lang w:val="zh-CN"/>
        </w:rPr>
        <w:t>年）》，因地制宜开展营养和膳食指导。实施贫困地区重点人群营养干预，将营养干预纳入健康扶贫工作。继续推进实施农村义务教育学生营养改善计划和贫困地区儿童营养改善项目。（卫生健康委牵头，教育部、国务院扶贫办按职责分工负责）</w:t>
      </w:r>
      <w:r>
        <w:rPr>
          <w:rFonts w:hint="default" w:ascii="Times New Roman" w:hAnsi="Times New Roman" w:eastAsia="Times New Roman"/>
          <w:color w:val="auto"/>
          <w:sz w:val="32"/>
          <w:lang w:val="en-US"/>
        </w:rPr>
        <w:t xml:space="preserve"> </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2.</w:t>
      </w:r>
      <w:r>
        <w:rPr>
          <w:rFonts w:hint="eastAsia" w:ascii="宋体" w:hAnsi="宋体"/>
          <w:color w:val="auto"/>
          <w:sz w:val="32"/>
          <w:lang w:val="zh-CN"/>
        </w:rPr>
        <w:t>推动营养立法和政策研究。研究制定实施营养师制度，在幼儿园、学校、养老机构、医院等集体供餐单位配备营养师，在社区配备营养指导员。强化临床营养工作，不断规范营养筛查、评估和治疗。（卫生健康委、民政部、司法部、财政部按职责分工负责）</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3.</w:t>
      </w:r>
      <w:r>
        <w:rPr>
          <w:rFonts w:hint="eastAsia" w:ascii="宋体" w:hAnsi="宋体"/>
          <w:color w:val="auto"/>
          <w:sz w:val="32"/>
          <w:lang w:val="zh-CN"/>
        </w:rPr>
        <w:t>完善食品安全标准体系，制定以食品安全为基础的营养健康标准，推进食品营养标准体系建设。发展营养导向型农业和食品加工业。政府要加快研究制定标准限制高糖食品的生产销售。加大宣传力度，推动低糖或无糖食品的生产与消费。实施食品安全检验检测能力达标工程，加强食品安全抽检和风险监测工作。（卫生健康委、农业农村部、市场监管总局按职责分工负责）</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4.</w:t>
      </w:r>
      <w:r>
        <w:rPr>
          <w:rFonts w:hint="eastAsia" w:ascii="宋体" w:hAnsi="宋体"/>
          <w:color w:val="auto"/>
          <w:sz w:val="32"/>
          <w:lang w:val="zh-CN"/>
        </w:rPr>
        <w:t>加快修订预包装食品营养标签通则，增加蔗糖等糖的强制标识，鼓励企业进行</w:t>
      </w:r>
      <w:r>
        <w:rPr>
          <w:rFonts w:hint="default" w:ascii="宋体" w:hAnsi="宋体"/>
          <w:color w:val="auto"/>
          <w:sz w:val="32"/>
          <w:lang w:val="zh-CN"/>
        </w:rPr>
        <w:t>“</w:t>
      </w:r>
      <w:r>
        <w:rPr>
          <w:rFonts w:hint="eastAsia" w:ascii="宋体" w:hAnsi="宋体"/>
          <w:color w:val="auto"/>
          <w:sz w:val="32"/>
          <w:lang w:val="zh-CN"/>
        </w:rPr>
        <w:t>低糖</w:t>
      </w:r>
      <w:r>
        <w:rPr>
          <w:rFonts w:hint="default" w:ascii="宋体" w:hAnsi="宋体"/>
          <w:color w:val="auto"/>
          <w:sz w:val="32"/>
          <w:lang w:val="zh-CN"/>
        </w:rPr>
        <w:t>”</w:t>
      </w:r>
      <w:r>
        <w:rPr>
          <w:rFonts w:hint="eastAsia" w:ascii="宋体" w:hAnsi="宋体"/>
          <w:color w:val="auto"/>
          <w:sz w:val="32"/>
          <w:lang w:val="zh-CN"/>
        </w:rPr>
        <w:t>或者</w:t>
      </w:r>
      <w:r>
        <w:rPr>
          <w:rFonts w:hint="default" w:ascii="宋体" w:hAnsi="宋体"/>
          <w:color w:val="auto"/>
          <w:sz w:val="32"/>
          <w:lang w:val="zh-CN"/>
        </w:rPr>
        <w:t>“</w:t>
      </w:r>
      <w:r>
        <w:rPr>
          <w:rFonts w:hint="eastAsia" w:ascii="宋体" w:hAnsi="宋体"/>
          <w:color w:val="auto"/>
          <w:sz w:val="32"/>
          <w:lang w:val="zh-CN"/>
        </w:rPr>
        <w:t>无糖</w:t>
      </w:r>
      <w:r>
        <w:rPr>
          <w:rFonts w:hint="default" w:ascii="宋体" w:hAnsi="宋体"/>
          <w:color w:val="auto"/>
          <w:sz w:val="32"/>
          <w:lang w:val="zh-CN"/>
        </w:rPr>
        <w:t>”</w:t>
      </w:r>
      <w:r>
        <w:rPr>
          <w:rFonts w:hint="eastAsia" w:ascii="宋体" w:hAnsi="宋体"/>
          <w:color w:val="auto"/>
          <w:sz w:val="32"/>
          <w:lang w:val="zh-CN"/>
        </w:rPr>
        <w:t>的声称，积极推动在食品包装上使用</w:t>
      </w:r>
      <w:r>
        <w:rPr>
          <w:rFonts w:hint="default" w:ascii="宋体" w:hAnsi="宋体"/>
          <w:color w:val="auto"/>
          <w:sz w:val="32"/>
          <w:lang w:val="zh-CN"/>
        </w:rPr>
        <w:t>“</w:t>
      </w:r>
      <w:r>
        <w:rPr>
          <w:rFonts w:hint="eastAsia" w:ascii="宋体" w:hAnsi="宋体"/>
          <w:color w:val="auto"/>
          <w:sz w:val="32"/>
          <w:lang w:val="zh-CN"/>
        </w:rPr>
        <w:t>包装正面标识（</w:t>
      </w:r>
      <w:r>
        <w:rPr>
          <w:rFonts w:hint="default" w:ascii="Times New Roman" w:hAnsi="Times New Roman" w:eastAsia="Times New Roman"/>
          <w:color w:val="auto"/>
          <w:sz w:val="32"/>
          <w:lang w:val="en-US"/>
        </w:rPr>
        <w:t>FOP</w:t>
      </w:r>
      <w:r>
        <w:rPr>
          <w:rFonts w:hint="eastAsia" w:ascii="宋体" w:hAnsi="宋体"/>
          <w:color w:val="auto"/>
          <w:sz w:val="32"/>
          <w:lang w:val="zh-CN"/>
        </w:rPr>
        <w:t>）</w:t>
      </w:r>
      <w:r>
        <w:rPr>
          <w:rFonts w:hint="default" w:ascii="宋体" w:hAnsi="宋体"/>
          <w:color w:val="auto"/>
          <w:sz w:val="32"/>
          <w:lang w:val="zh-CN"/>
        </w:rPr>
        <w:t>”</w:t>
      </w:r>
      <w:r>
        <w:rPr>
          <w:rFonts w:hint="eastAsia" w:ascii="宋体" w:hAnsi="宋体"/>
          <w:color w:val="auto"/>
          <w:sz w:val="32"/>
          <w:lang w:val="zh-CN"/>
        </w:rPr>
        <w:t>信息，帮助消费者快速选择健康食品，加强对预包装食品营养标签的监督管理。研究推进制定特殊人群集体用餐营养操作规范，探索试点在餐饮食品中增加</w:t>
      </w:r>
      <w:r>
        <w:rPr>
          <w:rFonts w:hint="default" w:ascii="宋体" w:hAnsi="宋体"/>
          <w:color w:val="auto"/>
          <w:sz w:val="32"/>
          <w:lang w:val="zh-CN"/>
        </w:rPr>
        <w:t>“</w:t>
      </w:r>
      <w:r>
        <w:rPr>
          <w:rFonts w:hint="eastAsia" w:ascii="宋体" w:hAnsi="宋体"/>
          <w:color w:val="auto"/>
          <w:sz w:val="32"/>
          <w:lang w:val="zh-CN"/>
        </w:rPr>
        <w:t>糖</w:t>
      </w:r>
      <w:r>
        <w:rPr>
          <w:rFonts w:hint="default" w:ascii="宋体" w:hAnsi="宋体"/>
          <w:color w:val="auto"/>
          <w:sz w:val="32"/>
          <w:lang w:val="zh-CN"/>
        </w:rPr>
        <w:t>”</w:t>
      </w:r>
      <w:r>
        <w:rPr>
          <w:rFonts w:hint="eastAsia" w:ascii="宋体" w:hAnsi="宋体"/>
          <w:color w:val="auto"/>
          <w:sz w:val="32"/>
          <w:lang w:val="zh-CN"/>
        </w:rPr>
        <w:t>的标识。研究完善油、盐、糖包装标准，在外包装上标示建议每人每日食用合理量的油盐糖等有关信息。（卫生健康委牵头，市场监管总局、工业和信息化部按职责负责）</w:t>
      </w:r>
    </w:p>
    <w:p>
      <w:pPr>
        <w:spacing w:beforeLines="0" w:afterLines="0" w:line="600" w:lineRule="atLeast"/>
        <w:ind w:firstLine="643"/>
        <w:rPr>
          <w:rFonts w:hint="default" w:ascii="Times New Roman" w:hAnsi="Times New Roman" w:eastAsia="Times New Roman"/>
          <w:b/>
          <w:color w:val="auto"/>
          <w:sz w:val="32"/>
          <w:lang w:val="en-US"/>
        </w:rPr>
      </w:pPr>
      <w:r>
        <w:rPr>
          <w:rFonts w:hint="eastAsia" w:ascii="宋体" w:hAnsi="宋体"/>
          <w:b/>
          <w:color w:val="auto"/>
          <w:sz w:val="32"/>
          <w:lang w:val="zh-CN"/>
        </w:rPr>
        <w:t>（三）全民健身行动。</w:t>
      </w:r>
    </w:p>
    <w:p>
      <w:pPr>
        <w:spacing w:beforeLines="0" w:afterLines="0" w:line="600" w:lineRule="atLeast"/>
        <w:ind w:firstLine="640"/>
        <w:rPr>
          <w:rFonts w:hint="default" w:ascii="Times New Roman" w:hAnsi="Times New Roman" w:eastAsia="Times New Roman"/>
          <w:color w:val="auto"/>
          <w:sz w:val="32"/>
          <w:lang w:val="en-US"/>
        </w:rPr>
      </w:pPr>
      <w:r>
        <w:rPr>
          <w:rFonts w:hint="eastAsia" w:ascii="宋体" w:hAnsi="宋体"/>
          <w:color w:val="auto"/>
          <w:sz w:val="32"/>
          <w:lang w:val="zh-CN"/>
        </w:rPr>
        <w:t>生命在于运动，运动需要科学。科学的身体活动可以预防疾病，愉悦身心，促进健康。根据国家体育总局</w:t>
      </w:r>
      <w:r>
        <w:rPr>
          <w:rFonts w:hint="default" w:ascii="Times New Roman" w:hAnsi="Times New Roman" w:eastAsia="Times New Roman"/>
          <w:color w:val="auto"/>
          <w:sz w:val="32"/>
          <w:lang w:val="en-US"/>
        </w:rPr>
        <w:t>2014</w:t>
      </w:r>
      <w:r>
        <w:rPr>
          <w:rFonts w:hint="eastAsia" w:ascii="宋体" w:hAnsi="宋体"/>
          <w:color w:val="auto"/>
          <w:sz w:val="32"/>
          <w:lang w:val="zh-CN"/>
        </w:rPr>
        <w:t>年全民健身活动状况调查，我国城乡居民经常参加体育锻炼的比例为</w:t>
      </w:r>
      <w:r>
        <w:rPr>
          <w:rFonts w:hint="default" w:ascii="Times New Roman" w:hAnsi="Times New Roman" w:eastAsia="Times New Roman"/>
          <w:color w:val="auto"/>
          <w:sz w:val="32"/>
          <w:lang w:val="en-US"/>
        </w:rPr>
        <w:t>33.9%</w:t>
      </w:r>
      <w:r>
        <w:rPr>
          <w:rFonts w:hint="eastAsia" w:ascii="宋体" w:hAnsi="宋体"/>
          <w:color w:val="auto"/>
          <w:sz w:val="32"/>
          <w:lang w:val="zh-CN"/>
        </w:rPr>
        <w:t>，其中</w:t>
      </w:r>
      <w:r>
        <w:rPr>
          <w:rFonts w:hint="default" w:ascii="Times New Roman" w:hAnsi="Times New Roman" w:eastAsia="Times New Roman"/>
          <w:color w:val="auto"/>
          <w:sz w:val="32"/>
          <w:lang w:val="en-US"/>
        </w:rPr>
        <w:t>20</w:t>
      </w:r>
      <w:r>
        <w:rPr>
          <w:rFonts w:hint="eastAsia" w:ascii="宋体" w:hAnsi="宋体"/>
          <w:color w:val="auto"/>
          <w:sz w:val="32"/>
          <w:lang w:val="zh-CN"/>
        </w:rPr>
        <w:t>～</w:t>
      </w:r>
      <w:r>
        <w:rPr>
          <w:rFonts w:hint="default" w:ascii="Times New Roman" w:hAnsi="Times New Roman" w:eastAsia="Times New Roman"/>
          <w:color w:val="auto"/>
          <w:sz w:val="32"/>
          <w:lang w:val="en-US"/>
        </w:rPr>
        <w:t>69</w:t>
      </w:r>
      <w:r>
        <w:rPr>
          <w:rFonts w:hint="eastAsia" w:ascii="宋体" w:hAnsi="宋体"/>
          <w:color w:val="auto"/>
          <w:sz w:val="32"/>
          <w:lang w:val="zh-CN"/>
        </w:rPr>
        <w:t>岁居民经常锻炼率仅为</w:t>
      </w:r>
      <w:r>
        <w:rPr>
          <w:rFonts w:hint="default" w:ascii="Times New Roman" w:hAnsi="Times New Roman" w:eastAsia="Times New Roman"/>
          <w:color w:val="auto"/>
          <w:sz w:val="32"/>
          <w:lang w:val="en-US"/>
        </w:rPr>
        <w:t>14.7%</w:t>
      </w:r>
      <w:r>
        <w:rPr>
          <w:rFonts w:hint="eastAsia" w:ascii="宋体" w:hAnsi="宋体"/>
          <w:color w:val="auto"/>
          <w:sz w:val="32"/>
          <w:lang w:val="zh-CN"/>
        </w:rPr>
        <w:t>，成人经常锻炼率处于较低水平，缺乏身体活动成为多种慢性病发生的重要原因。同时，心肺耐力、柔韧性、肌肉力量、肌肉耐力、身体成分等指标的变化不容乐观，多数居民在参加体育活动时还有很大的盲目性。定期适量进行身体活动有助于预防和改善超重和肥胖及高血压、心脏病、卒中、糖尿病等慢性病，并能促进精神健康、提高生活质量和幸福感，促进社会和谐。</w:t>
      </w:r>
    </w:p>
    <w:p>
      <w:pPr>
        <w:spacing w:beforeLines="0" w:afterLines="0" w:line="600" w:lineRule="atLeast"/>
        <w:ind w:firstLine="640"/>
        <w:rPr>
          <w:rFonts w:hint="default" w:ascii="Times New Roman" w:hAnsi="Times New Roman" w:eastAsia="Times New Roman"/>
          <w:color w:val="auto"/>
          <w:sz w:val="32"/>
          <w:lang w:val="en-US"/>
        </w:rPr>
      </w:pPr>
      <w:r>
        <w:rPr>
          <w:rFonts w:hint="eastAsia" w:ascii="宋体" w:hAnsi="宋体"/>
          <w:color w:val="auto"/>
          <w:sz w:val="32"/>
          <w:lang w:val="zh-CN"/>
        </w:rPr>
        <w:t>行动目标：</w:t>
      </w:r>
    </w:p>
    <w:p>
      <w:pPr>
        <w:spacing w:beforeLines="0" w:afterLines="0" w:line="600" w:lineRule="atLeast"/>
        <w:ind w:firstLine="640"/>
        <w:rPr>
          <w:rFonts w:hint="default" w:ascii="Times New Roman" w:hAnsi="Times New Roman" w:eastAsia="Times New Roman"/>
          <w:color w:val="auto"/>
          <w:sz w:val="32"/>
          <w:lang w:val="en-US"/>
        </w:rPr>
      </w:pPr>
      <w:r>
        <w:rPr>
          <w:rFonts w:hint="eastAsia" w:ascii="宋体" w:hAnsi="宋体"/>
          <w:color w:val="auto"/>
          <w:sz w:val="32"/>
          <w:lang w:val="zh-CN"/>
        </w:rPr>
        <w:t>到</w:t>
      </w:r>
      <w:r>
        <w:rPr>
          <w:rFonts w:hint="default" w:ascii="Times New Roman" w:hAnsi="Times New Roman" w:eastAsia="Times New Roman"/>
          <w:color w:val="auto"/>
          <w:sz w:val="32"/>
          <w:lang w:val="en-US"/>
        </w:rPr>
        <w:t>2022</w:t>
      </w:r>
      <w:r>
        <w:rPr>
          <w:rFonts w:hint="eastAsia" w:ascii="宋体" w:hAnsi="宋体"/>
          <w:color w:val="auto"/>
          <w:sz w:val="32"/>
          <w:lang w:val="zh-CN"/>
        </w:rPr>
        <w:t>年和</w:t>
      </w:r>
      <w:r>
        <w:rPr>
          <w:rFonts w:hint="default" w:ascii="Times New Roman" w:hAnsi="Times New Roman" w:eastAsia="Times New Roman"/>
          <w:color w:val="auto"/>
          <w:sz w:val="32"/>
          <w:lang w:val="en-US"/>
        </w:rPr>
        <w:t>2030</w:t>
      </w:r>
      <w:r>
        <w:rPr>
          <w:rFonts w:hint="eastAsia" w:ascii="宋体" w:hAnsi="宋体"/>
          <w:color w:val="auto"/>
          <w:sz w:val="32"/>
          <w:lang w:val="zh-CN"/>
        </w:rPr>
        <w:t>年，城乡居民达到《国民体质测定标准》合格以上的人数比例分别不少于</w:t>
      </w:r>
      <w:r>
        <w:rPr>
          <w:rFonts w:hint="default" w:ascii="Times New Roman" w:hAnsi="Times New Roman" w:eastAsia="Times New Roman"/>
          <w:color w:val="auto"/>
          <w:sz w:val="32"/>
          <w:lang w:val="en-US"/>
        </w:rPr>
        <w:t>90.86%</w:t>
      </w:r>
      <w:r>
        <w:rPr>
          <w:rFonts w:hint="eastAsia" w:ascii="宋体" w:hAnsi="宋体"/>
          <w:color w:val="auto"/>
          <w:sz w:val="32"/>
          <w:lang w:val="zh-CN"/>
        </w:rPr>
        <w:t>和</w:t>
      </w:r>
      <w:r>
        <w:rPr>
          <w:rFonts w:hint="default" w:ascii="Times New Roman" w:hAnsi="Times New Roman" w:eastAsia="Times New Roman"/>
          <w:color w:val="auto"/>
          <w:sz w:val="32"/>
          <w:lang w:val="en-US"/>
        </w:rPr>
        <w:t>92.17%</w:t>
      </w:r>
      <w:r>
        <w:rPr>
          <w:rFonts w:hint="eastAsia" w:ascii="宋体" w:hAnsi="宋体"/>
          <w:color w:val="auto"/>
          <w:sz w:val="32"/>
          <w:lang w:val="zh-CN"/>
        </w:rPr>
        <w:t>；经常参加体育锻炼（每周参加体育锻炼频度</w:t>
      </w:r>
      <w:r>
        <w:rPr>
          <w:rFonts w:hint="default" w:ascii="Times New Roman" w:hAnsi="Times New Roman" w:eastAsia="Times New Roman"/>
          <w:color w:val="auto"/>
          <w:sz w:val="32"/>
          <w:lang w:val="en-US"/>
        </w:rPr>
        <w:t>3</w:t>
      </w:r>
      <w:r>
        <w:rPr>
          <w:rFonts w:hint="eastAsia" w:ascii="宋体" w:hAnsi="宋体"/>
          <w:color w:val="auto"/>
          <w:sz w:val="32"/>
          <w:lang w:val="zh-CN"/>
        </w:rPr>
        <w:t>次及以上，每次体育锻炼持续时间</w:t>
      </w:r>
      <w:r>
        <w:rPr>
          <w:rFonts w:hint="default" w:ascii="Times New Roman" w:hAnsi="Times New Roman" w:eastAsia="Times New Roman"/>
          <w:color w:val="auto"/>
          <w:sz w:val="32"/>
          <w:lang w:val="en-US"/>
        </w:rPr>
        <w:t>30</w:t>
      </w:r>
      <w:r>
        <w:rPr>
          <w:rFonts w:hint="eastAsia" w:ascii="宋体" w:hAnsi="宋体"/>
          <w:color w:val="auto"/>
          <w:sz w:val="32"/>
          <w:lang w:val="zh-CN"/>
        </w:rPr>
        <w:t>分钟及以上，每次体育锻炼的运动强度达到中等及以上）人数比例达到</w:t>
      </w:r>
      <w:r>
        <w:rPr>
          <w:rFonts w:hint="default" w:ascii="Times New Roman" w:hAnsi="Times New Roman" w:eastAsia="Times New Roman"/>
          <w:color w:val="auto"/>
          <w:sz w:val="32"/>
          <w:lang w:val="en-US"/>
        </w:rPr>
        <w:t>37%</w:t>
      </w:r>
      <w:r>
        <w:rPr>
          <w:rFonts w:hint="eastAsia" w:ascii="宋体" w:hAnsi="宋体"/>
          <w:color w:val="auto"/>
          <w:sz w:val="32"/>
          <w:lang w:val="zh-CN"/>
        </w:rPr>
        <w:t>及以上和</w:t>
      </w:r>
      <w:r>
        <w:rPr>
          <w:rFonts w:hint="default" w:ascii="Times New Roman" w:hAnsi="Times New Roman" w:eastAsia="Times New Roman"/>
          <w:color w:val="auto"/>
          <w:sz w:val="32"/>
          <w:lang w:val="en-US"/>
        </w:rPr>
        <w:t>40%</w:t>
      </w:r>
      <w:r>
        <w:rPr>
          <w:rFonts w:hint="eastAsia" w:ascii="宋体" w:hAnsi="宋体"/>
          <w:color w:val="auto"/>
          <w:sz w:val="32"/>
          <w:lang w:val="zh-CN"/>
        </w:rPr>
        <w:t>及以上；学校体育场地设施开放率超过</w:t>
      </w:r>
      <w:r>
        <w:rPr>
          <w:rFonts w:hint="default" w:ascii="Times New Roman" w:hAnsi="Times New Roman" w:eastAsia="Times New Roman"/>
          <w:color w:val="auto"/>
          <w:sz w:val="32"/>
          <w:lang w:val="en-US"/>
        </w:rPr>
        <w:t>70%</w:t>
      </w:r>
      <w:r>
        <w:rPr>
          <w:rFonts w:hint="eastAsia" w:ascii="宋体" w:hAnsi="宋体"/>
          <w:color w:val="auto"/>
          <w:sz w:val="32"/>
          <w:lang w:val="zh-CN"/>
        </w:rPr>
        <w:t>和</w:t>
      </w:r>
      <w:r>
        <w:rPr>
          <w:rFonts w:hint="default" w:ascii="Times New Roman" w:hAnsi="Times New Roman" w:eastAsia="Times New Roman"/>
          <w:color w:val="auto"/>
          <w:sz w:val="32"/>
          <w:lang w:val="en-US"/>
        </w:rPr>
        <w:t>90%</w:t>
      </w:r>
      <w:r>
        <w:rPr>
          <w:rFonts w:hint="eastAsia" w:ascii="宋体" w:hAnsi="宋体"/>
          <w:color w:val="auto"/>
          <w:sz w:val="32"/>
          <w:lang w:val="zh-CN"/>
        </w:rPr>
        <w:t>；人均体育场地面积分别达到</w:t>
      </w:r>
      <w:r>
        <w:rPr>
          <w:rFonts w:hint="default" w:ascii="Times New Roman" w:hAnsi="Times New Roman" w:eastAsia="Times New Roman"/>
          <w:color w:val="auto"/>
          <w:sz w:val="32"/>
          <w:lang w:val="en-US"/>
        </w:rPr>
        <w:t>1.9m</w:t>
      </w:r>
      <w:r>
        <w:rPr>
          <w:rFonts w:hint="default" w:ascii="Times New Roman" w:hAnsi="Times New Roman" w:eastAsia="Times New Roman"/>
          <w:color w:val="auto"/>
          <w:sz w:val="32"/>
          <w:vertAlign w:val="superscript"/>
          <w:lang w:val="en-US"/>
        </w:rPr>
        <w:t>2</w:t>
      </w:r>
      <w:r>
        <w:rPr>
          <w:rFonts w:hint="eastAsia" w:ascii="宋体" w:hAnsi="宋体"/>
          <w:color w:val="auto"/>
          <w:sz w:val="32"/>
          <w:lang w:val="zh-CN"/>
        </w:rPr>
        <w:t>及以上和</w:t>
      </w:r>
      <w:r>
        <w:rPr>
          <w:rFonts w:hint="default" w:ascii="Times New Roman" w:hAnsi="Times New Roman" w:eastAsia="Times New Roman"/>
          <w:color w:val="auto"/>
          <w:sz w:val="32"/>
          <w:lang w:val="en-US"/>
        </w:rPr>
        <w:t>2.3 m</w:t>
      </w:r>
      <w:r>
        <w:rPr>
          <w:rFonts w:hint="default" w:ascii="Times New Roman" w:hAnsi="Times New Roman" w:eastAsia="Times New Roman"/>
          <w:color w:val="auto"/>
          <w:sz w:val="32"/>
          <w:vertAlign w:val="superscript"/>
          <w:lang w:val="en-US"/>
        </w:rPr>
        <w:t>2</w:t>
      </w:r>
      <w:r>
        <w:rPr>
          <w:rFonts w:hint="eastAsia" w:ascii="宋体" w:hAnsi="宋体"/>
          <w:color w:val="auto"/>
          <w:sz w:val="32"/>
          <w:lang w:val="zh-CN"/>
        </w:rPr>
        <w:t>及以上；城市慢跑步行道绿道的人均长度持续提升；每千人拥有社会体育指导员不少于</w:t>
      </w:r>
      <w:r>
        <w:rPr>
          <w:rFonts w:hint="default" w:ascii="Times New Roman" w:hAnsi="Times New Roman" w:eastAsia="Times New Roman"/>
          <w:color w:val="auto"/>
          <w:sz w:val="32"/>
          <w:lang w:val="en-US"/>
        </w:rPr>
        <w:t>1.9</w:t>
      </w:r>
      <w:r>
        <w:rPr>
          <w:rFonts w:hint="eastAsia" w:ascii="宋体" w:hAnsi="宋体"/>
          <w:color w:val="auto"/>
          <w:sz w:val="32"/>
          <w:lang w:val="zh-CN"/>
        </w:rPr>
        <w:t>名和</w:t>
      </w:r>
      <w:r>
        <w:rPr>
          <w:rFonts w:hint="default" w:ascii="Times New Roman" w:hAnsi="Times New Roman" w:eastAsia="Times New Roman"/>
          <w:color w:val="auto"/>
          <w:sz w:val="32"/>
          <w:lang w:val="en-US"/>
        </w:rPr>
        <w:t>2.3</w:t>
      </w:r>
      <w:r>
        <w:rPr>
          <w:rFonts w:hint="eastAsia" w:ascii="宋体" w:hAnsi="宋体"/>
          <w:color w:val="auto"/>
          <w:sz w:val="32"/>
          <w:lang w:val="zh-CN"/>
        </w:rPr>
        <w:t>名；农村行政村体育设施覆盖率基本实现全覆盖和覆盖率</w:t>
      </w:r>
      <w:r>
        <w:rPr>
          <w:rFonts w:hint="default" w:ascii="Times New Roman" w:hAnsi="Times New Roman" w:eastAsia="Times New Roman"/>
          <w:color w:val="auto"/>
          <w:sz w:val="32"/>
          <w:lang w:val="en-US"/>
        </w:rPr>
        <w:t>100%</w:t>
      </w:r>
      <w:r>
        <w:rPr>
          <w:rFonts w:hint="eastAsia" w:ascii="宋体" w:hAnsi="宋体"/>
          <w:color w:val="auto"/>
          <w:sz w:val="32"/>
          <w:lang w:val="zh-CN"/>
        </w:rPr>
        <w:t>。</w:t>
      </w:r>
    </w:p>
    <w:p>
      <w:pPr>
        <w:spacing w:beforeLines="0" w:afterLines="0" w:line="600" w:lineRule="atLeast"/>
        <w:ind w:firstLine="640"/>
        <w:rPr>
          <w:rFonts w:hint="default" w:ascii="Times New Roman" w:hAnsi="Times New Roman" w:eastAsia="Times New Roman"/>
          <w:color w:val="auto"/>
          <w:sz w:val="32"/>
          <w:lang w:val="en-US"/>
        </w:rPr>
      </w:pPr>
      <w:r>
        <w:rPr>
          <w:rFonts w:hint="eastAsia" w:ascii="宋体" w:hAnsi="宋体"/>
          <w:color w:val="auto"/>
          <w:sz w:val="32"/>
          <w:lang w:val="zh-CN"/>
        </w:rPr>
        <w:t>提倡机关、企事业单位开展工间操；鼓励个人至少有</w:t>
      </w:r>
      <w:r>
        <w:rPr>
          <w:rFonts w:hint="default" w:ascii="Times New Roman" w:hAnsi="Times New Roman" w:eastAsia="Times New Roman"/>
          <w:color w:val="auto"/>
          <w:sz w:val="32"/>
          <w:lang w:val="en-US"/>
        </w:rPr>
        <w:t>1</w:t>
      </w:r>
      <w:r>
        <w:rPr>
          <w:rFonts w:hint="eastAsia" w:ascii="宋体" w:hAnsi="宋体"/>
          <w:color w:val="auto"/>
          <w:sz w:val="32"/>
          <w:lang w:val="zh-CN"/>
        </w:rPr>
        <w:t>项运动爱好或掌握</w:t>
      </w:r>
      <w:r>
        <w:rPr>
          <w:rFonts w:hint="default" w:ascii="Times New Roman" w:hAnsi="Times New Roman" w:eastAsia="Times New Roman"/>
          <w:color w:val="auto"/>
          <w:sz w:val="32"/>
          <w:lang w:val="en-US"/>
        </w:rPr>
        <w:t>1</w:t>
      </w:r>
      <w:r>
        <w:rPr>
          <w:rFonts w:hint="eastAsia" w:ascii="宋体" w:hAnsi="宋体"/>
          <w:color w:val="auto"/>
          <w:sz w:val="32"/>
          <w:lang w:val="zh-CN"/>
        </w:rPr>
        <w:t>项传统运动项目，参加至少</w:t>
      </w:r>
      <w:r>
        <w:rPr>
          <w:rFonts w:hint="default" w:ascii="Times New Roman" w:hAnsi="Times New Roman" w:eastAsia="Times New Roman"/>
          <w:color w:val="auto"/>
          <w:sz w:val="32"/>
          <w:lang w:val="en-US"/>
        </w:rPr>
        <w:t>1</w:t>
      </w:r>
      <w:r>
        <w:rPr>
          <w:rFonts w:hint="eastAsia" w:ascii="宋体" w:hAnsi="宋体"/>
          <w:color w:val="auto"/>
          <w:sz w:val="32"/>
          <w:lang w:val="zh-CN"/>
        </w:rPr>
        <w:t>个健身组织，每天进行中等强度运动至少半小时；鼓励医疗机构提供运动促进健康的指导服务，鼓励引导社会体育指导人员在健身场所等地方为群众提供科学健身指导服务，提高健身效果，预防运动损伤；鼓励公共体育场地设施更多更好地提供免费或低收费开放服务，确保符合条件的企事业单位体育场地设施全部向社会开放。</w:t>
      </w:r>
      <w:r>
        <w:rPr>
          <w:rFonts w:hint="default" w:ascii="Times New Roman" w:hAnsi="Times New Roman" w:eastAsia="Times New Roman"/>
          <w:color w:val="auto"/>
          <w:sz w:val="32"/>
          <w:lang w:val="en-US"/>
        </w:rPr>
        <w:t xml:space="preserve"> </w:t>
      </w:r>
    </w:p>
    <w:p>
      <w:pPr>
        <w:spacing w:beforeLines="0" w:afterLines="0" w:line="600" w:lineRule="atLeast"/>
        <w:ind w:firstLine="643"/>
        <w:rPr>
          <w:rFonts w:hint="default" w:ascii="Times New Roman" w:hAnsi="Times New Roman" w:eastAsia="Times New Roman"/>
          <w:b/>
          <w:color w:val="auto"/>
          <w:sz w:val="32"/>
          <w:lang w:val="en-US"/>
        </w:rPr>
      </w:pPr>
      <w:r>
        <w:rPr>
          <w:rFonts w:hint="default" w:ascii="宋体" w:hAnsi="宋体"/>
          <w:b/>
          <w:color w:val="auto"/>
          <w:sz w:val="32"/>
          <w:lang w:val="zh-CN"/>
        </w:rPr>
        <w:t>——</w:t>
      </w:r>
      <w:r>
        <w:rPr>
          <w:rFonts w:hint="eastAsia" w:ascii="宋体" w:hAnsi="宋体"/>
          <w:b/>
          <w:color w:val="auto"/>
          <w:sz w:val="32"/>
          <w:lang w:val="zh-CN"/>
        </w:rPr>
        <w:t>个人：</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1.</w:t>
      </w:r>
      <w:r>
        <w:rPr>
          <w:rFonts w:hint="eastAsia" w:ascii="宋体" w:hAnsi="宋体"/>
          <w:color w:val="auto"/>
          <w:sz w:val="32"/>
          <w:lang w:val="zh-CN"/>
        </w:rPr>
        <w:t>了解运动对健康的益处。建议个人提高身体活动意识，培养运动习惯。了解和掌握全民健身、身体活动相关知识，将身体活动融入到日常生活中，掌握运动技能，少静多动，减少久坐，保持健康体重；科学运动避免运动风险。</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2.</w:t>
      </w:r>
      <w:r>
        <w:rPr>
          <w:rFonts w:hint="eastAsia" w:ascii="宋体" w:hAnsi="宋体"/>
          <w:color w:val="auto"/>
          <w:sz w:val="32"/>
          <w:lang w:val="zh-CN"/>
        </w:rPr>
        <w:t>动则有益，贵在坚持。运动前需了解患病史及家族病史，评估身体状态，鼓励在家庭医生或专业人士指导下制定运动方案，选择适合自己的运动方式、强度和运动量，减少运动风险。鼓励每周进行</w:t>
      </w:r>
      <w:r>
        <w:rPr>
          <w:rFonts w:hint="default" w:ascii="Times New Roman" w:hAnsi="Times New Roman" w:eastAsia="Times New Roman"/>
          <w:color w:val="auto"/>
          <w:sz w:val="32"/>
          <w:lang w:val="en-US"/>
        </w:rPr>
        <w:t>3</w:t>
      </w:r>
      <w:r>
        <w:rPr>
          <w:rFonts w:hint="eastAsia" w:ascii="宋体" w:hAnsi="宋体"/>
          <w:color w:val="auto"/>
          <w:sz w:val="32"/>
          <w:lang w:val="zh-CN"/>
        </w:rPr>
        <w:t>次以上、每次</w:t>
      </w:r>
      <w:r>
        <w:rPr>
          <w:rFonts w:hint="default" w:ascii="Times New Roman" w:hAnsi="Times New Roman" w:eastAsia="Times New Roman"/>
          <w:color w:val="auto"/>
          <w:sz w:val="32"/>
          <w:lang w:val="en-US"/>
        </w:rPr>
        <w:t>30</w:t>
      </w:r>
      <w:r>
        <w:rPr>
          <w:rFonts w:hint="eastAsia" w:ascii="宋体" w:hAnsi="宋体"/>
          <w:color w:val="auto"/>
          <w:sz w:val="32"/>
          <w:lang w:val="zh-CN"/>
        </w:rPr>
        <w:t>分钟以上中等强度运动，或者累计</w:t>
      </w:r>
      <w:r>
        <w:rPr>
          <w:rFonts w:hint="default" w:ascii="Times New Roman" w:hAnsi="Times New Roman" w:eastAsia="Times New Roman"/>
          <w:color w:val="auto"/>
          <w:sz w:val="32"/>
          <w:lang w:val="en-US"/>
        </w:rPr>
        <w:t>150</w:t>
      </w:r>
      <w:r>
        <w:rPr>
          <w:rFonts w:hint="eastAsia" w:ascii="宋体" w:hAnsi="宋体"/>
          <w:color w:val="auto"/>
          <w:sz w:val="32"/>
          <w:lang w:val="zh-CN"/>
        </w:rPr>
        <w:t>分钟中等强度或</w:t>
      </w:r>
      <w:r>
        <w:rPr>
          <w:rFonts w:hint="default" w:ascii="Times New Roman" w:hAnsi="Times New Roman" w:eastAsia="Times New Roman"/>
          <w:color w:val="auto"/>
          <w:sz w:val="32"/>
          <w:lang w:val="en-US"/>
        </w:rPr>
        <w:t>75</w:t>
      </w:r>
      <w:r>
        <w:rPr>
          <w:rFonts w:hint="eastAsia" w:ascii="宋体" w:hAnsi="宋体"/>
          <w:color w:val="auto"/>
          <w:sz w:val="32"/>
          <w:lang w:val="zh-CN"/>
        </w:rPr>
        <w:t>分钟高强度身体活动。日常生活中要尽量多动，达到每天</w:t>
      </w:r>
      <w:r>
        <w:rPr>
          <w:rFonts w:hint="default" w:ascii="Times New Roman" w:hAnsi="Times New Roman" w:eastAsia="Times New Roman"/>
          <w:color w:val="auto"/>
          <w:sz w:val="32"/>
          <w:lang w:val="en-US"/>
        </w:rPr>
        <w:t>6000</w:t>
      </w:r>
      <w:r>
        <w:rPr>
          <w:rFonts w:hint="eastAsia" w:ascii="宋体" w:hAnsi="宋体"/>
          <w:color w:val="auto"/>
          <w:sz w:val="32"/>
          <w:lang w:val="zh-CN"/>
        </w:rPr>
        <w:t>～</w:t>
      </w:r>
      <w:r>
        <w:rPr>
          <w:rFonts w:hint="default" w:ascii="Times New Roman" w:hAnsi="Times New Roman" w:eastAsia="Times New Roman"/>
          <w:color w:val="auto"/>
          <w:sz w:val="32"/>
          <w:lang w:val="en-US"/>
        </w:rPr>
        <w:t>10000</w:t>
      </w:r>
      <w:r>
        <w:rPr>
          <w:rFonts w:hint="eastAsia" w:ascii="宋体" w:hAnsi="宋体"/>
          <w:color w:val="auto"/>
          <w:sz w:val="32"/>
          <w:lang w:val="zh-CN"/>
        </w:rPr>
        <w:t>步的身体活动量。吃动平衡，让摄入的多余能量通过运动的方式消耗，达到身体各机能的平衡。一次完整的运动包括准备活动、正式运动、整理活动。一周运动健身包括有氧运动、力量练习、柔韧性练习等内容。提倡家庭配备适合家庭成员使用的小型、便携、易操作的健身器材。</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3.</w:t>
      </w:r>
      <w:r>
        <w:rPr>
          <w:rFonts w:hint="eastAsia" w:ascii="宋体" w:hAnsi="宋体"/>
          <w:color w:val="auto"/>
          <w:sz w:val="32"/>
          <w:lang w:val="zh-CN"/>
        </w:rPr>
        <w:t>老年人运动有助于保持身体功能，减缓认知功能的退化。提倡老年人量力而行，选择与自身体质和健康相适应的运动方式。在重视有氧运动的同时，重视肌肉力量练习和柔韧性锻炼，适当进行平衡能力锻炼，强健骨骼肌肉系统，预防跌倒。提倡老年人参加运动期间定期测量血压和血糖，调整运动量。</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4.</w:t>
      </w:r>
      <w:r>
        <w:rPr>
          <w:rFonts w:hint="eastAsia" w:ascii="宋体" w:hAnsi="宋体"/>
          <w:color w:val="auto"/>
          <w:sz w:val="32"/>
          <w:lang w:val="zh-CN"/>
        </w:rPr>
        <w:t>特殊人群，如孕妇、慢性病患者、残疾人等，建议在医生和运动专业人士的指导下进行运动。单纯性肥胖患者至少要达到一般成年人的运动推荐量。控制体重每天要进行</w:t>
      </w:r>
      <w:r>
        <w:rPr>
          <w:rFonts w:hint="default" w:ascii="Times New Roman" w:hAnsi="Times New Roman" w:eastAsia="Times New Roman"/>
          <w:color w:val="auto"/>
          <w:sz w:val="32"/>
          <w:lang w:val="en-US"/>
        </w:rPr>
        <w:t>45</w:t>
      </w:r>
      <w:r>
        <w:rPr>
          <w:rFonts w:hint="eastAsia" w:ascii="宋体" w:hAnsi="宋体"/>
          <w:color w:val="auto"/>
          <w:sz w:val="32"/>
          <w:lang w:val="zh-CN"/>
        </w:rPr>
        <w:t>分钟以上的中低强度的运动。在减低体重过程中，建议强调肌肉力量锻炼，以避免肌肉和骨骼重量的下降。提倡运动与饮食控制相结合来减低体重。</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5.</w:t>
      </w:r>
      <w:r>
        <w:rPr>
          <w:rFonts w:hint="eastAsia" w:ascii="宋体" w:hAnsi="宋体"/>
          <w:color w:val="auto"/>
          <w:sz w:val="32"/>
          <w:lang w:val="zh-CN"/>
        </w:rPr>
        <w:t>以体力劳动为主的人群，要注意劳逸结合，避免</w:t>
      </w:r>
      <w:r>
        <w:rPr>
          <w:rFonts w:hint="default" w:ascii="宋体" w:hAnsi="宋体"/>
          <w:color w:val="auto"/>
          <w:sz w:val="32"/>
          <w:lang w:val="zh-CN"/>
        </w:rPr>
        <w:t>“</w:t>
      </w:r>
      <w:r>
        <w:rPr>
          <w:rFonts w:hint="eastAsia" w:ascii="宋体" w:hAnsi="宋体"/>
          <w:color w:val="auto"/>
          <w:sz w:val="32"/>
          <w:lang w:val="zh-CN"/>
        </w:rPr>
        <w:t>过劳</w:t>
      </w:r>
      <w:r>
        <w:rPr>
          <w:rFonts w:hint="default" w:ascii="宋体" w:hAnsi="宋体"/>
          <w:color w:val="auto"/>
          <w:sz w:val="32"/>
          <w:lang w:val="zh-CN"/>
        </w:rPr>
        <w:t>”</w:t>
      </w:r>
      <w:r>
        <w:rPr>
          <w:rFonts w:hint="eastAsia" w:ascii="宋体" w:hAnsi="宋体"/>
          <w:color w:val="auto"/>
          <w:sz w:val="32"/>
          <w:lang w:val="zh-CN"/>
        </w:rPr>
        <w:t>，通过运动促进身体的全面发展。可在工作一段时间后换一种放松的运动方式，减轻肌肉的酸痛和僵硬，消除局部的疲劳，但运动量和强度都不宜过大。</w:t>
      </w:r>
    </w:p>
    <w:p>
      <w:pPr>
        <w:spacing w:beforeLines="0" w:afterLines="0" w:line="600" w:lineRule="atLeast"/>
        <w:ind w:firstLine="643"/>
        <w:rPr>
          <w:rFonts w:hint="default" w:ascii="Times New Roman" w:hAnsi="Times New Roman" w:eastAsia="Times New Roman"/>
          <w:b/>
          <w:color w:val="auto"/>
          <w:sz w:val="32"/>
          <w:lang w:val="en-US"/>
        </w:rPr>
      </w:pPr>
      <w:r>
        <w:rPr>
          <w:rFonts w:hint="default" w:ascii="宋体" w:hAnsi="宋体"/>
          <w:b/>
          <w:color w:val="auto"/>
          <w:sz w:val="32"/>
          <w:lang w:val="zh-CN"/>
        </w:rPr>
        <w:t>——</w:t>
      </w:r>
      <w:r>
        <w:rPr>
          <w:rFonts w:hint="eastAsia" w:ascii="宋体" w:hAnsi="宋体"/>
          <w:b/>
          <w:color w:val="auto"/>
          <w:sz w:val="32"/>
          <w:lang w:val="zh-CN"/>
        </w:rPr>
        <w:t>社会：</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1.</w:t>
      </w:r>
      <w:r>
        <w:rPr>
          <w:rFonts w:hint="eastAsia" w:ascii="宋体" w:hAnsi="宋体"/>
          <w:color w:val="auto"/>
          <w:sz w:val="32"/>
          <w:lang w:val="zh-CN"/>
        </w:rPr>
        <w:t>建立健全群众身边的健身组织，体育总会在地市、县、乡实现全覆盖，单项体育协会延伸到群众身边，让想健身的群众加入到体育组织中。</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2.</w:t>
      </w:r>
      <w:r>
        <w:rPr>
          <w:rFonts w:hint="eastAsia" w:ascii="宋体" w:hAnsi="宋体"/>
          <w:color w:val="auto"/>
          <w:sz w:val="32"/>
          <w:lang w:val="zh-CN"/>
        </w:rPr>
        <w:t>举办各类全民健身赛事，实施群众冬季运动推广普及计划。发展中国特色健身项目，开展民族、民俗、民间体育活动。推广普及太极拳、健身气功等传统体育项目。推进全民健身进家庭。推广普及广播体操等工间操。推行国家体育锻炼标准和运动水平等级标准。</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3.</w:t>
      </w:r>
      <w:r>
        <w:rPr>
          <w:rFonts w:hint="eastAsia" w:ascii="宋体" w:hAnsi="宋体"/>
          <w:color w:val="auto"/>
          <w:sz w:val="32"/>
          <w:lang w:val="zh-CN"/>
        </w:rPr>
        <w:t>弘扬群众身边的健身文化，制作体育题材的影视、动漫作品，鼓励开展全民健身志愿服务，普及体育健身文化知识，增强健身意识。</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4.</w:t>
      </w:r>
      <w:r>
        <w:rPr>
          <w:rFonts w:hint="eastAsia" w:ascii="宋体" w:hAnsi="宋体"/>
          <w:color w:val="auto"/>
          <w:sz w:val="32"/>
          <w:lang w:val="zh-CN"/>
        </w:rPr>
        <w:t>鼓励将国民体质测定纳入健康体检项目。各级医疗卫生机构开展运动风险评估，提供健身方案或运动促进健康的指导服务。</w:t>
      </w:r>
    </w:p>
    <w:p>
      <w:pPr>
        <w:spacing w:beforeLines="0" w:afterLines="0" w:line="600" w:lineRule="atLeast"/>
        <w:ind w:firstLine="643"/>
        <w:rPr>
          <w:rFonts w:hint="default" w:ascii="Times New Roman" w:hAnsi="Times New Roman" w:eastAsia="Times New Roman"/>
          <w:b/>
          <w:color w:val="auto"/>
          <w:sz w:val="32"/>
          <w:lang w:val="en-US"/>
        </w:rPr>
      </w:pPr>
      <w:r>
        <w:rPr>
          <w:rFonts w:hint="default" w:ascii="宋体" w:hAnsi="宋体"/>
          <w:b/>
          <w:color w:val="auto"/>
          <w:sz w:val="32"/>
          <w:lang w:val="zh-CN"/>
        </w:rPr>
        <w:t>——</w:t>
      </w:r>
      <w:r>
        <w:rPr>
          <w:rFonts w:hint="eastAsia" w:ascii="宋体" w:hAnsi="宋体"/>
          <w:b/>
          <w:color w:val="auto"/>
          <w:sz w:val="32"/>
          <w:lang w:val="zh-CN"/>
        </w:rPr>
        <w:t>政府：</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1.</w:t>
      </w:r>
      <w:r>
        <w:rPr>
          <w:rFonts w:hint="eastAsia" w:ascii="宋体" w:hAnsi="宋体"/>
          <w:color w:val="auto"/>
          <w:sz w:val="32"/>
          <w:lang w:val="zh-CN"/>
        </w:rPr>
        <w:t>推进基本公共体育服务体系建设，统筹建设全民健身场地设施，建设一批体育公园、社区健身中心等全民健身场地设施，推进建设城市慢跑步行道绿道，努力打造百姓身边</w:t>
      </w:r>
      <w:r>
        <w:rPr>
          <w:rFonts w:hint="default" w:ascii="宋体" w:hAnsi="宋体"/>
          <w:color w:val="auto"/>
          <w:sz w:val="32"/>
          <w:lang w:val="zh-CN"/>
        </w:rPr>
        <w:t>“</w:t>
      </w:r>
      <w:r>
        <w:rPr>
          <w:rFonts w:hint="default" w:ascii="Times New Roman" w:hAnsi="Times New Roman" w:eastAsia="Times New Roman"/>
          <w:color w:val="auto"/>
          <w:sz w:val="32"/>
          <w:lang w:val="en-US"/>
        </w:rPr>
        <w:t>15</w:t>
      </w:r>
      <w:r>
        <w:rPr>
          <w:rFonts w:hint="eastAsia" w:ascii="宋体" w:hAnsi="宋体"/>
          <w:color w:val="auto"/>
          <w:sz w:val="32"/>
          <w:lang w:val="zh-CN"/>
        </w:rPr>
        <w:t>分钟健身圈</w:t>
      </w:r>
      <w:r>
        <w:rPr>
          <w:rFonts w:hint="default" w:ascii="宋体" w:hAnsi="宋体"/>
          <w:color w:val="auto"/>
          <w:sz w:val="32"/>
          <w:lang w:val="zh-CN"/>
        </w:rPr>
        <w:t>”</w:t>
      </w:r>
      <w:r>
        <w:rPr>
          <w:rFonts w:hint="eastAsia" w:ascii="宋体" w:hAnsi="宋体"/>
          <w:color w:val="auto"/>
          <w:sz w:val="32"/>
          <w:lang w:val="zh-CN"/>
        </w:rPr>
        <w:t>，让想健身的群众有适当的场所。完善财政补助、服务收费、社会参与管理运营、安全保障等措施，推行公共体育设施免费或低收费开放，确保公共体育场地设施和符合开放条件的企事业单位体育场地设施全部向社会开放。鼓励社会力量举办或参与管理运营体育场地设施。（体育总局牵头，发展改革委、教育部、财政部、住房城乡建设部按职责分工负责）</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2.</w:t>
      </w:r>
      <w:r>
        <w:rPr>
          <w:rFonts w:hint="eastAsia" w:ascii="宋体" w:hAnsi="宋体"/>
          <w:color w:val="auto"/>
          <w:sz w:val="32"/>
          <w:lang w:val="zh-CN"/>
        </w:rPr>
        <w:t>构建科学健身体系。建立针对不同人群、不同环境、不同身体状况的运动促进健康指导方法，推动形成</w:t>
      </w:r>
      <w:r>
        <w:rPr>
          <w:rFonts w:hint="default" w:ascii="宋体" w:hAnsi="宋体"/>
          <w:color w:val="auto"/>
          <w:sz w:val="32"/>
          <w:lang w:val="zh-CN"/>
        </w:rPr>
        <w:t>“</w:t>
      </w:r>
      <w:r>
        <w:rPr>
          <w:rFonts w:hint="eastAsia" w:ascii="宋体" w:hAnsi="宋体"/>
          <w:color w:val="auto"/>
          <w:sz w:val="32"/>
          <w:lang w:val="zh-CN"/>
        </w:rPr>
        <w:t>体医结合</w:t>
      </w:r>
      <w:r>
        <w:rPr>
          <w:rFonts w:hint="default" w:ascii="宋体" w:hAnsi="宋体"/>
          <w:color w:val="auto"/>
          <w:sz w:val="32"/>
          <w:lang w:val="zh-CN"/>
        </w:rPr>
        <w:t>”</w:t>
      </w:r>
      <w:r>
        <w:rPr>
          <w:rFonts w:hint="eastAsia" w:ascii="宋体" w:hAnsi="宋体"/>
          <w:color w:val="auto"/>
          <w:sz w:val="32"/>
          <w:lang w:val="zh-CN"/>
        </w:rPr>
        <w:t>的疾病管理与健康服务模式。构建运动伤病预防、治疗与急救体系，提高运动伤病防治能力。鼓励引导社会体育指导人员在健身场所等地方为群众提供科学健身指导服务，提高健身效果，预防运动损伤。（体育总局牵头，卫生健康委按职责负责）</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3.</w:t>
      </w:r>
      <w:r>
        <w:rPr>
          <w:rFonts w:hint="eastAsia" w:ascii="宋体" w:hAnsi="宋体"/>
          <w:color w:val="auto"/>
          <w:sz w:val="32"/>
          <w:lang w:val="zh-CN"/>
        </w:rPr>
        <w:t>制定实施特殊人群的体质健康干预计划。鼓励和支持新建工作场所建设适当的健身活动场地。强化对高校学生体质健康水平的监测和评估干预，把高校学生体质健康水平纳入对高校的考核评价。确保高校学生体育课时，丰富高校学生体育锻炼的形式和内容。（体育总局牵头，教育部、全国总工会等按职责分工负责）</w:t>
      </w:r>
    </w:p>
    <w:p>
      <w:pPr>
        <w:spacing w:beforeLines="0" w:afterLines="0" w:line="600" w:lineRule="atLeast"/>
        <w:ind w:firstLine="643"/>
        <w:rPr>
          <w:rFonts w:hint="default" w:ascii="Times New Roman" w:hAnsi="Times New Roman" w:eastAsia="Times New Roman"/>
          <w:b/>
          <w:color w:val="auto"/>
          <w:sz w:val="32"/>
          <w:lang w:val="en-US"/>
        </w:rPr>
      </w:pPr>
      <w:r>
        <w:rPr>
          <w:rFonts w:hint="eastAsia" w:ascii="宋体" w:hAnsi="宋体"/>
          <w:b/>
          <w:color w:val="auto"/>
          <w:sz w:val="32"/>
          <w:lang w:val="zh-CN"/>
        </w:rPr>
        <w:t>（四）控烟行动。</w:t>
      </w:r>
    </w:p>
    <w:p>
      <w:pPr>
        <w:spacing w:beforeLines="0" w:afterLines="0" w:line="600" w:lineRule="atLeast"/>
        <w:ind w:firstLine="640"/>
        <w:rPr>
          <w:rFonts w:hint="default" w:ascii="Times New Roman" w:hAnsi="Times New Roman" w:eastAsia="Times New Roman"/>
          <w:color w:val="auto"/>
          <w:sz w:val="32"/>
          <w:lang w:val="en-US"/>
        </w:rPr>
      </w:pPr>
      <w:r>
        <w:rPr>
          <w:rFonts w:hint="eastAsia" w:ascii="宋体" w:hAnsi="宋体"/>
          <w:color w:val="auto"/>
          <w:sz w:val="32"/>
          <w:lang w:val="zh-CN"/>
        </w:rPr>
        <w:t>烟草烟雾中含有多种已知的致癌物，有充分证据表明吸烟可以导致多种恶性肿瘤，还会导致呼吸系统和心脑血管系统等多个系统疾病。根据世界卫生组织报告，每</w:t>
      </w:r>
      <w:r>
        <w:rPr>
          <w:rFonts w:hint="default" w:ascii="Times New Roman" w:hAnsi="Times New Roman" w:eastAsia="Times New Roman"/>
          <w:color w:val="auto"/>
          <w:sz w:val="32"/>
          <w:lang w:val="en-US"/>
        </w:rPr>
        <w:t>3</w:t>
      </w:r>
      <w:r>
        <w:rPr>
          <w:rFonts w:hint="eastAsia" w:ascii="宋体" w:hAnsi="宋体"/>
          <w:color w:val="auto"/>
          <w:sz w:val="32"/>
          <w:lang w:val="zh-CN"/>
        </w:rPr>
        <w:t>个吸烟者中就有</w:t>
      </w:r>
      <w:r>
        <w:rPr>
          <w:rFonts w:hint="default" w:ascii="Times New Roman" w:hAnsi="Times New Roman" w:eastAsia="Times New Roman"/>
          <w:color w:val="auto"/>
          <w:sz w:val="32"/>
          <w:lang w:val="en-US"/>
        </w:rPr>
        <w:t>1</w:t>
      </w:r>
      <w:r>
        <w:rPr>
          <w:rFonts w:hint="eastAsia" w:ascii="宋体" w:hAnsi="宋体"/>
          <w:color w:val="auto"/>
          <w:sz w:val="32"/>
          <w:lang w:val="zh-CN"/>
        </w:rPr>
        <w:t>个死于吸烟相关疾病，吸烟者的平均寿命比非吸烟者缩短</w:t>
      </w:r>
      <w:r>
        <w:rPr>
          <w:rFonts w:hint="default" w:ascii="Times New Roman" w:hAnsi="Times New Roman" w:eastAsia="Times New Roman"/>
          <w:color w:val="auto"/>
          <w:sz w:val="32"/>
          <w:lang w:val="en-US"/>
        </w:rPr>
        <w:t>10</w:t>
      </w:r>
      <w:r>
        <w:rPr>
          <w:rFonts w:hint="eastAsia" w:ascii="宋体" w:hAnsi="宋体"/>
          <w:color w:val="auto"/>
          <w:sz w:val="32"/>
          <w:lang w:val="zh-CN"/>
        </w:rPr>
        <w:t>年。烟草对健康的危害已经成为当今世界最严重的公共卫生问题之一。为此，世界卫生组织制定了第一部国际公共卫生条约</w:t>
      </w:r>
      <w:r>
        <w:rPr>
          <w:rFonts w:hint="default" w:ascii="宋体" w:hAnsi="宋体"/>
          <w:color w:val="auto"/>
          <w:sz w:val="32"/>
          <w:lang w:val="zh-CN"/>
        </w:rPr>
        <w:t>——</w:t>
      </w:r>
      <w:r>
        <w:rPr>
          <w:rFonts w:hint="eastAsia" w:ascii="宋体" w:hAnsi="宋体"/>
          <w:color w:val="auto"/>
          <w:sz w:val="32"/>
          <w:lang w:val="zh-CN"/>
        </w:rPr>
        <w:t>《烟草控制框架公约》（以下简称《公约》）。我国</w:t>
      </w:r>
      <w:r>
        <w:rPr>
          <w:rFonts w:hint="default" w:ascii="Times New Roman" w:hAnsi="Times New Roman" w:eastAsia="Times New Roman"/>
          <w:color w:val="auto"/>
          <w:sz w:val="32"/>
          <w:lang w:val="en-US"/>
        </w:rPr>
        <w:t>2003</w:t>
      </w:r>
      <w:r>
        <w:rPr>
          <w:rFonts w:hint="eastAsia" w:ascii="宋体" w:hAnsi="宋体"/>
          <w:color w:val="auto"/>
          <w:sz w:val="32"/>
          <w:lang w:val="zh-CN"/>
        </w:rPr>
        <w:t>年签署《公约》，</w:t>
      </w:r>
      <w:r>
        <w:rPr>
          <w:rFonts w:hint="default" w:ascii="Times New Roman" w:hAnsi="Times New Roman" w:eastAsia="Times New Roman"/>
          <w:color w:val="auto"/>
          <w:sz w:val="32"/>
          <w:lang w:val="en-US"/>
        </w:rPr>
        <w:t>2005</w:t>
      </w:r>
      <w:r>
        <w:rPr>
          <w:rFonts w:hint="eastAsia" w:ascii="宋体" w:hAnsi="宋体"/>
          <w:color w:val="auto"/>
          <w:sz w:val="32"/>
          <w:lang w:val="zh-CN"/>
        </w:rPr>
        <w:t>年经全国人民代表大会批准，</w:t>
      </w:r>
      <w:r>
        <w:rPr>
          <w:rFonts w:hint="default" w:ascii="Times New Roman" w:hAnsi="Times New Roman" w:eastAsia="Times New Roman"/>
          <w:color w:val="auto"/>
          <w:sz w:val="32"/>
          <w:lang w:val="en-US"/>
        </w:rPr>
        <w:t>2006</w:t>
      </w:r>
      <w:r>
        <w:rPr>
          <w:rFonts w:hint="eastAsia" w:ascii="宋体" w:hAnsi="宋体"/>
          <w:color w:val="auto"/>
          <w:sz w:val="32"/>
          <w:lang w:val="zh-CN"/>
        </w:rPr>
        <w:t>年</w:t>
      </w:r>
      <w:r>
        <w:rPr>
          <w:rFonts w:hint="default" w:ascii="Times New Roman" w:hAnsi="Times New Roman" w:eastAsia="Times New Roman"/>
          <w:color w:val="auto"/>
          <w:sz w:val="32"/>
          <w:lang w:val="en-US"/>
        </w:rPr>
        <w:t>1</w:t>
      </w:r>
      <w:r>
        <w:rPr>
          <w:rFonts w:hint="eastAsia" w:ascii="宋体" w:hAnsi="宋体"/>
          <w:color w:val="auto"/>
          <w:sz w:val="32"/>
          <w:lang w:val="zh-CN"/>
        </w:rPr>
        <w:t>月在我国正式生效。我国现有吸烟者逾</w:t>
      </w:r>
      <w:r>
        <w:rPr>
          <w:rFonts w:hint="default" w:ascii="Times New Roman" w:hAnsi="Times New Roman" w:eastAsia="Times New Roman"/>
          <w:color w:val="auto"/>
          <w:sz w:val="32"/>
          <w:lang w:val="en-US"/>
        </w:rPr>
        <w:t>3</w:t>
      </w:r>
      <w:r>
        <w:rPr>
          <w:rFonts w:hint="eastAsia" w:ascii="宋体" w:hAnsi="宋体"/>
          <w:color w:val="auto"/>
          <w:sz w:val="32"/>
          <w:lang w:val="zh-CN"/>
        </w:rPr>
        <w:t>亿，迫切需要对烟草危害加以预防。每年因吸烟相关疾病所致的死亡人数超过</w:t>
      </w:r>
      <w:r>
        <w:rPr>
          <w:rFonts w:hint="default" w:ascii="Times New Roman" w:hAnsi="Times New Roman" w:eastAsia="Times New Roman"/>
          <w:color w:val="auto"/>
          <w:sz w:val="32"/>
          <w:lang w:val="en-US"/>
        </w:rPr>
        <w:t>100</w:t>
      </w:r>
      <w:r>
        <w:rPr>
          <w:rFonts w:hint="eastAsia" w:ascii="宋体" w:hAnsi="宋体"/>
          <w:color w:val="auto"/>
          <w:sz w:val="32"/>
          <w:lang w:val="zh-CN"/>
        </w:rPr>
        <w:t>万，因二手烟暴露导致的死亡人数超过</w:t>
      </w:r>
      <w:r>
        <w:rPr>
          <w:rFonts w:hint="default" w:ascii="Times New Roman" w:hAnsi="Times New Roman" w:eastAsia="Times New Roman"/>
          <w:color w:val="auto"/>
          <w:sz w:val="32"/>
          <w:lang w:val="en-US"/>
        </w:rPr>
        <w:t>10</w:t>
      </w:r>
      <w:r>
        <w:rPr>
          <w:rFonts w:hint="eastAsia" w:ascii="宋体" w:hAnsi="宋体"/>
          <w:color w:val="auto"/>
          <w:sz w:val="32"/>
          <w:lang w:val="zh-CN"/>
        </w:rPr>
        <w:t>万。</w:t>
      </w:r>
    </w:p>
    <w:p>
      <w:pPr>
        <w:spacing w:beforeLines="0" w:afterLines="0" w:line="600" w:lineRule="atLeast"/>
        <w:ind w:firstLine="640"/>
        <w:rPr>
          <w:rFonts w:hint="default" w:ascii="Times New Roman" w:hAnsi="Times New Roman" w:eastAsia="Times New Roman"/>
          <w:color w:val="auto"/>
          <w:sz w:val="32"/>
          <w:lang w:val="en-US"/>
        </w:rPr>
      </w:pPr>
      <w:r>
        <w:rPr>
          <w:rFonts w:hint="eastAsia" w:ascii="宋体" w:hAnsi="宋体"/>
          <w:color w:val="auto"/>
          <w:sz w:val="32"/>
          <w:lang w:val="zh-CN"/>
        </w:rPr>
        <w:t>行动目标：</w:t>
      </w:r>
    </w:p>
    <w:p>
      <w:pPr>
        <w:spacing w:beforeLines="0" w:afterLines="0" w:line="600" w:lineRule="atLeast"/>
        <w:ind w:firstLine="640"/>
        <w:rPr>
          <w:rFonts w:hint="default" w:ascii="Times New Roman" w:hAnsi="Times New Roman" w:eastAsia="Times New Roman"/>
          <w:color w:val="auto"/>
          <w:sz w:val="32"/>
          <w:lang w:val="en-US"/>
        </w:rPr>
      </w:pPr>
      <w:r>
        <w:rPr>
          <w:rFonts w:hint="eastAsia" w:ascii="宋体" w:hAnsi="宋体"/>
          <w:color w:val="auto"/>
          <w:sz w:val="32"/>
          <w:lang w:val="zh-CN"/>
        </w:rPr>
        <w:t>到</w:t>
      </w:r>
      <w:r>
        <w:rPr>
          <w:rFonts w:hint="default" w:ascii="Times New Roman" w:hAnsi="Times New Roman" w:eastAsia="Times New Roman"/>
          <w:color w:val="auto"/>
          <w:sz w:val="32"/>
          <w:lang w:val="en-US"/>
        </w:rPr>
        <w:t>2022</w:t>
      </w:r>
      <w:r>
        <w:rPr>
          <w:rFonts w:hint="eastAsia" w:ascii="宋体" w:hAnsi="宋体"/>
          <w:color w:val="auto"/>
          <w:sz w:val="32"/>
          <w:lang w:val="zh-CN"/>
        </w:rPr>
        <w:t>年和</w:t>
      </w:r>
      <w:r>
        <w:rPr>
          <w:rFonts w:hint="default" w:ascii="Times New Roman" w:hAnsi="Times New Roman" w:eastAsia="Times New Roman"/>
          <w:color w:val="auto"/>
          <w:sz w:val="32"/>
          <w:lang w:val="en-US"/>
        </w:rPr>
        <w:t>2030</w:t>
      </w:r>
      <w:r>
        <w:rPr>
          <w:rFonts w:hint="eastAsia" w:ascii="宋体" w:hAnsi="宋体"/>
          <w:color w:val="auto"/>
          <w:sz w:val="32"/>
          <w:lang w:val="zh-CN"/>
        </w:rPr>
        <w:t>年，</w:t>
      </w:r>
      <w:r>
        <w:rPr>
          <w:rFonts w:hint="default" w:ascii="Times New Roman" w:hAnsi="Times New Roman" w:eastAsia="Times New Roman"/>
          <w:color w:val="auto"/>
          <w:sz w:val="32"/>
          <w:lang w:val="en-US"/>
        </w:rPr>
        <w:t xml:space="preserve"> 15</w:t>
      </w:r>
      <w:r>
        <w:rPr>
          <w:rFonts w:hint="eastAsia" w:ascii="宋体" w:hAnsi="宋体"/>
          <w:color w:val="auto"/>
          <w:sz w:val="32"/>
          <w:lang w:val="zh-CN"/>
        </w:rPr>
        <w:t>岁以上人群吸烟率分别低于</w:t>
      </w:r>
      <w:r>
        <w:rPr>
          <w:rFonts w:hint="default" w:ascii="Times New Roman" w:hAnsi="Times New Roman" w:eastAsia="Times New Roman"/>
          <w:color w:val="auto"/>
          <w:sz w:val="32"/>
          <w:lang w:val="en-US"/>
        </w:rPr>
        <w:t>24.5%</w:t>
      </w:r>
      <w:r>
        <w:rPr>
          <w:rFonts w:hint="eastAsia" w:ascii="宋体" w:hAnsi="宋体"/>
          <w:color w:val="auto"/>
          <w:sz w:val="32"/>
          <w:lang w:val="zh-CN"/>
        </w:rPr>
        <w:t>和</w:t>
      </w:r>
      <w:r>
        <w:rPr>
          <w:rFonts w:hint="default" w:ascii="Times New Roman" w:hAnsi="Times New Roman" w:eastAsia="Times New Roman"/>
          <w:color w:val="auto"/>
          <w:sz w:val="32"/>
          <w:lang w:val="en-US"/>
        </w:rPr>
        <w:t>20%</w:t>
      </w:r>
      <w:r>
        <w:rPr>
          <w:rFonts w:hint="eastAsia" w:ascii="宋体" w:hAnsi="宋体"/>
          <w:color w:val="auto"/>
          <w:sz w:val="32"/>
          <w:lang w:val="zh-CN"/>
        </w:rPr>
        <w:t>；全面无烟法规保护的人口比例分别达到</w:t>
      </w:r>
      <w:r>
        <w:rPr>
          <w:rFonts w:hint="default" w:ascii="Times New Roman" w:hAnsi="Times New Roman" w:eastAsia="Times New Roman"/>
          <w:color w:val="auto"/>
          <w:sz w:val="32"/>
          <w:lang w:val="en-US"/>
        </w:rPr>
        <w:t>30%</w:t>
      </w:r>
      <w:r>
        <w:rPr>
          <w:rFonts w:hint="eastAsia" w:ascii="宋体" w:hAnsi="宋体"/>
          <w:color w:val="auto"/>
          <w:sz w:val="32"/>
          <w:lang w:val="zh-CN"/>
        </w:rPr>
        <w:t>及以上和</w:t>
      </w:r>
      <w:r>
        <w:rPr>
          <w:rFonts w:hint="default" w:ascii="Times New Roman" w:hAnsi="Times New Roman" w:eastAsia="Times New Roman"/>
          <w:color w:val="auto"/>
          <w:sz w:val="32"/>
          <w:lang w:val="en-US"/>
        </w:rPr>
        <w:t>80%</w:t>
      </w:r>
      <w:r>
        <w:rPr>
          <w:rFonts w:hint="eastAsia" w:ascii="宋体" w:hAnsi="宋体"/>
          <w:color w:val="auto"/>
          <w:sz w:val="32"/>
          <w:lang w:val="zh-CN"/>
        </w:rPr>
        <w:t>及以上；把各级党政机关建设成无烟机关，逐步在全国范围内实现室内公共场所、室内工作场所和公共交通工具全面禁烟；将违反有关法律法规向未成年人出售烟草的商家、发布烟草广告的企业和商家，纳入社会诚信体系</w:t>
      </w:r>
      <w:r>
        <w:rPr>
          <w:rFonts w:hint="default" w:ascii="宋体" w:hAnsi="宋体"/>
          <w:color w:val="auto"/>
          <w:sz w:val="32"/>
          <w:lang w:val="zh-CN"/>
        </w:rPr>
        <w:t>“</w:t>
      </w:r>
      <w:r>
        <w:rPr>
          <w:rFonts w:hint="eastAsia" w:ascii="宋体" w:hAnsi="宋体"/>
          <w:color w:val="auto"/>
          <w:sz w:val="32"/>
          <w:lang w:val="zh-CN"/>
        </w:rPr>
        <w:t>黑名单</w:t>
      </w:r>
      <w:r>
        <w:rPr>
          <w:rFonts w:hint="default" w:ascii="宋体" w:hAnsi="宋体"/>
          <w:color w:val="auto"/>
          <w:sz w:val="32"/>
          <w:lang w:val="zh-CN"/>
        </w:rPr>
        <w:t>”</w:t>
      </w:r>
      <w:r>
        <w:rPr>
          <w:rFonts w:hint="eastAsia" w:ascii="宋体" w:hAnsi="宋体"/>
          <w:color w:val="auto"/>
          <w:sz w:val="32"/>
          <w:lang w:val="zh-CN"/>
        </w:rPr>
        <w:t>，依法依规实施联合惩戒。</w:t>
      </w:r>
    </w:p>
    <w:p>
      <w:pPr>
        <w:spacing w:beforeLines="0" w:afterLines="0" w:line="600" w:lineRule="atLeast"/>
        <w:ind w:firstLine="640"/>
        <w:rPr>
          <w:rFonts w:hint="default" w:ascii="Times New Roman" w:hAnsi="Times New Roman" w:eastAsia="Times New Roman"/>
          <w:color w:val="auto"/>
          <w:sz w:val="32"/>
          <w:lang w:val="en-US"/>
        </w:rPr>
      </w:pPr>
      <w:r>
        <w:rPr>
          <w:rFonts w:hint="eastAsia" w:ascii="宋体" w:hAnsi="宋体"/>
          <w:color w:val="auto"/>
          <w:sz w:val="32"/>
          <w:lang w:val="zh-CN"/>
        </w:rPr>
        <w:t>提倡个人戒烟越早越好，什么时候都不晚；创建无烟家庭，保护家人免受二手烟危害；领导干部、医生和教师发挥引领作用；鼓励企业、单位出台室内全面无烟政策，为员工营造无烟工作环境，为吸烟员工戒烟提供必要的帮助。</w:t>
      </w:r>
    </w:p>
    <w:p>
      <w:pPr>
        <w:spacing w:beforeLines="0" w:afterLines="0" w:line="600" w:lineRule="atLeast"/>
        <w:ind w:firstLine="643"/>
        <w:rPr>
          <w:rFonts w:hint="default" w:ascii="Times New Roman" w:hAnsi="Times New Roman" w:eastAsia="Times New Roman"/>
          <w:b/>
          <w:color w:val="auto"/>
          <w:sz w:val="32"/>
          <w:lang w:val="en-US"/>
        </w:rPr>
      </w:pPr>
      <w:r>
        <w:rPr>
          <w:rFonts w:hint="default" w:ascii="宋体" w:hAnsi="宋体"/>
          <w:b/>
          <w:color w:val="auto"/>
          <w:sz w:val="32"/>
          <w:lang w:val="zh-CN"/>
        </w:rPr>
        <w:t>——</w:t>
      </w:r>
      <w:r>
        <w:rPr>
          <w:rFonts w:hint="eastAsia" w:ascii="宋体" w:hAnsi="宋体"/>
          <w:b/>
          <w:color w:val="auto"/>
          <w:sz w:val="32"/>
          <w:lang w:val="zh-CN"/>
        </w:rPr>
        <w:t>个人和家庭：</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1.</w:t>
      </w:r>
      <w:r>
        <w:rPr>
          <w:rFonts w:hint="eastAsia" w:ascii="宋体" w:hAnsi="宋体"/>
          <w:color w:val="auto"/>
          <w:sz w:val="32"/>
          <w:lang w:val="zh-CN"/>
        </w:rPr>
        <w:t>充分了解吸烟和二手烟暴露的严重危害。不吸烟者不去尝试吸烟。吸烟者尽可能戒烟，戒烟越早越好，什么时候都不晚，药物治疗和尼古丁替代疗法可以提高长期戒烟率。不在禁止吸烟场所吸烟。</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2.</w:t>
      </w:r>
      <w:r>
        <w:rPr>
          <w:rFonts w:hint="eastAsia" w:ascii="宋体" w:hAnsi="宋体"/>
          <w:color w:val="auto"/>
          <w:sz w:val="32"/>
          <w:lang w:val="zh-CN"/>
        </w:rPr>
        <w:t>领导干部、医务人员和教师发挥引领作用。领导干部要按照中共中央办公厅、国务院办公厅《关于领导干部带头在公共场所禁烟有关事项的通知》要求起模范带头作用，公务活动参加人员不得吸烟、敬烟、劝烟；医务人员不允许在工作时间吸烟，并劝导、帮助患者戒烟；教师不得当着学生的面吸烟。</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3.</w:t>
      </w:r>
      <w:r>
        <w:rPr>
          <w:rFonts w:hint="eastAsia" w:ascii="宋体" w:hAnsi="宋体"/>
          <w:color w:val="auto"/>
          <w:sz w:val="32"/>
          <w:lang w:val="zh-CN"/>
        </w:rPr>
        <w:t>创建无烟家庭，劝导家庭成员不吸烟或主动戒烟，教育未成年人不吸烟，让家人免受二手烟危害。</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4.</w:t>
      </w:r>
      <w:r>
        <w:rPr>
          <w:rFonts w:hint="eastAsia" w:ascii="宋体" w:hAnsi="宋体"/>
          <w:color w:val="auto"/>
          <w:sz w:val="32"/>
          <w:lang w:val="zh-CN"/>
        </w:rPr>
        <w:t>在禁止吸烟场所劝阻他人吸烟。依法投诉举报在禁止吸烟场所吸烟行为，支持维护无烟环境。</w:t>
      </w:r>
    </w:p>
    <w:p>
      <w:pPr>
        <w:spacing w:beforeLines="0" w:afterLines="0" w:line="600" w:lineRule="atLeast"/>
        <w:ind w:firstLine="643"/>
        <w:rPr>
          <w:rFonts w:hint="default" w:ascii="Times New Roman" w:hAnsi="Times New Roman" w:eastAsia="Times New Roman"/>
          <w:b/>
          <w:color w:val="auto"/>
          <w:sz w:val="32"/>
          <w:lang w:val="en-US"/>
        </w:rPr>
      </w:pPr>
      <w:r>
        <w:rPr>
          <w:rFonts w:hint="default" w:ascii="宋体" w:hAnsi="宋体"/>
          <w:b/>
          <w:color w:val="auto"/>
          <w:sz w:val="32"/>
          <w:lang w:val="zh-CN"/>
        </w:rPr>
        <w:t>——</w:t>
      </w:r>
      <w:r>
        <w:rPr>
          <w:rFonts w:hint="eastAsia" w:ascii="宋体" w:hAnsi="宋体"/>
          <w:b/>
          <w:color w:val="auto"/>
          <w:sz w:val="32"/>
          <w:lang w:val="zh-CN"/>
        </w:rPr>
        <w:t>社会：</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1.</w:t>
      </w:r>
      <w:r>
        <w:rPr>
          <w:rFonts w:hint="eastAsia" w:ascii="宋体" w:hAnsi="宋体"/>
          <w:color w:val="auto"/>
          <w:sz w:val="32"/>
          <w:lang w:val="zh-CN"/>
        </w:rPr>
        <w:t>提倡无烟文化，提高社会文明程度。积极利用世界无烟日、世界心脏日、国际肺癌日等卫生健康主题日开展控烟宣传；倡导无烟婚礼、无烟家庭。</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2.</w:t>
      </w:r>
      <w:r>
        <w:rPr>
          <w:rFonts w:hint="eastAsia" w:ascii="宋体" w:hAnsi="宋体"/>
          <w:color w:val="auto"/>
          <w:sz w:val="32"/>
          <w:lang w:val="zh-CN"/>
        </w:rPr>
        <w:t>关注青少年吸烟问题，为青少年营造远离烟草的环境。将烟草危害和二手烟危害等控烟相关知识纳入中小学生健康教育课程。不向未成年人售烟。加强无烟学校建设。</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3.</w:t>
      </w:r>
      <w:r>
        <w:rPr>
          <w:rFonts w:hint="eastAsia" w:ascii="宋体" w:hAnsi="宋体"/>
          <w:color w:val="auto"/>
          <w:sz w:val="32"/>
          <w:lang w:val="zh-CN"/>
        </w:rPr>
        <w:t>鼓励企业、单位出台室内全面无烟规定，为员工营造无烟工作环境，为员工戒烟提供必要的支持。</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4.</w:t>
      </w:r>
      <w:r>
        <w:rPr>
          <w:rFonts w:hint="eastAsia" w:ascii="宋体" w:hAnsi="宋体"/>
          <w:color w:val="auto"/>
          <w:sz w:val="32"/>
          <w:lang w:val="zh-CN"/>
        </w:rPr>
        <w:t>充分发挥居（村）委会的作用，协助控烟政策在辖区内得到落实。</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5.</w:t>
      </w:r>
      <w:r>
        <w:rPr>
          <w:rFonts w:hint="eastAsia" w:ascii="宋体" w:hAnsi="宋体"/>
          <w:color w:val="auto"/>
          <w:sz w:val="32"/>
          <w:lang w:val="zh-CN"/>
        </w:rPr>
        <w:t>鼓励志愿服务组织、其他社会组织和个人通过各种形式参与控烟工作或者为控烟工作提供支持。</w:t>
      </w:r>
    </w:p>
    <w:p>
      <w:pPr>
        <w:spacing w:beforeLines="0" w:afterLines="0" w:line="600" w:lineRule="atLeast"/>
        <w:ind w:firstLine="643"/>
        <w:rPr>
          <w:rFonts w:hint="default" w:ascii="Times New Roman" w:hAnsi="Times New Roman" w:eastAsia="Times New Roman"/>
          <w:b/>
          <w:color w:val="auto"/>
          <w:sz w:val="32"/>
          <w:lang w:val="en-US"/>
        </w:rPr>
      </w:pPr>
      <w:r>
        <w:rPr>
          <w:rFonts w:hint="default" w:ascii="宋体" w:hAnsi="宋体"/>
          <w:b/>
          <w:color w:val="auto"/>
          <w:sz w:val="32"/>
          <w:lang w:val="zh-CN"/>
        </w:rPr>
        <w:t>——</w:t>
      </w:r>
      <w:r>
        <w:rPr>
          <w:rFonts w:hint="eastAsia" w:ascii="宋体" w:hAnsi="宋体"/>
          <w:b/>
          <w:color w:val="auto"/>
          <w:sz w:val="32"/>
          <w:lang w:val="zh-CN"/>
        </w:rPr>
        <w:t>政府：</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1.</w:t>
      </w:r>
      <w:r>
        <w:rPr>
          <w:rFonts w:hint="eastAsia" w:ascii="宋体" w:hAnsi="宋体"/>
          <w:color w:val="auto"/>
          <w:sz w:val="32"/>
          <w:lang w:val="zh-CN"/>
        </w:rPr>
        <w:t>逐步提高全面无烟法规覆盖人口比例，在全国范围内实现室内公共场所、室内工作场所和公共交通工具全面禁烟。积极推进无烟环境建设，强化公共场所控烟监督执法。把各级党政机关建设成无烟机关。（卫生健康委牵头，中央文明办、烟草局按职责分工负责）</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2.</w:t>
      </w:r>
      <w:r>
        <w:rPr>
          <w:rFonts w:hint="eastAsia" w:ascii="宋体" w:hAnsi="宋体"/>
          <w:color w:val="auto"/>
          <w:sz w:val="32"/>
          <w:lang w:val="zh-CN"/>
        </w:rPr>
        <w:t>研究推进采取税收、价格调节等综合手段，提高控烟成效。（发展改革委、财政部、税务总局、烟草局按职责分工负责）</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3.</w:t>
      </w:r>
      <w:r>
        <w:rPr>
          <w:rFonts w:hint="eastAsia" w:ascii="宋体" w:hAnsi="宋体"/>
          <w:color w:val="auto"/>
          <w:sz w:val="32"/>
          <w:lang w:val="zh-CN"/>
        </w:rPr>
        <w:t>加大控烟宣传教育力度，进一步加强卷烟包装标识管理，完善烟草危害警示内容和形式，提高健康危害警示效果，提高公众对烟草危害健康的认知程度。制定完善相关技术标准并监督执行。限制影视作品中的吸烟镜头。（卫生健康委牵头，中央宣传部、工业和信息化部、市场监管总局、广电总局、烟草局按职责分工负责）</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4.</w:t>
      </w:r>
      <w:r>
        <w:rPr>
          <w:rFonts w:hint="eastAsia" w:ascii="宋体" w:hAnsi="宋体"/>
          <w:color w:val="auto"/>
          <w:sz w:val="32"/>
          <w:lang w:val="zh-CN"/>
        </w:rPr>
        <w:t>逐步建立和完善戒烟服务体系，将询问患者吸烟史纳入到日常的门诊问诊中，推广简短戒烟干预服务和烟草依赖疾病诊治。加强对戒烟服务的宣传和推广，使更多吸烟者了解到其在戒烟过程中能获得的帮助。创建无烟医院，推进医院全面禁烟。（卫生健康委负责）</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5.</w:t>
      </w:r>
      <w:r>
        <w:rPr>
          <w:rFonts w:hint="eastAsia" w:ascii="宋体" w:hAnsi="宋体"/>
          <w:color w:val="auto"/>
          <w:sz w:val="32"/>
          <w:lang w:val="zh-CN"/>
        </w:rPr>
        <w:t>全面落实《中华人民共和国广告法》，加大烟草广告监督执法力度，严厉查处在大众传播媒介、公共场所、公共交通工具、户外发布烟草广告的违法行为。依法规范烟草促销、赞助等行为。（市场监管总局、交通运输部、国家铁路局、民航局按职责分工负责）</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6.</w:t>
      </w:r>
      <w:r>
        <w:rPr>
          <w:rFonts w:hint="eastAsia" w:ascii="宋体" w:hAnsi="宋体"/>
          <w:color w:val="auto"/>
          <w:sz w:val="32"/>
          <w:lang w:val="zh-CN"/>
        </w:rPr>
        <w:t>按照烟草控制框架公约履约进度要求，加快研究建立完善的烟草制品成分管制和信息披露制度。强化国家级烟草制品监督监测的独立性和权威性，完善烟草制品安全性检测评估体系，确保公正透明，保障公众知情和监督的权利。（卫生健康委、市场监管总局、烟草局按职责分工负责）</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7.</w:t>
      </w:r>
      <w:r>
        <w:rPr>
          <w:rFonts w:hint="eastAsia" w:ascii="宋体" w:hAnsi="宋体"/>
          <w:color w:val="auto"/>
          <w:sz w:val="32"/>
          <w:lang w:val="zh-CN"/>
        </w:rPr>
        <w:t>禁止向未成年人销售烟草制品。将违反有关法律法规向未成年人出售烟草的商家、发布烟草广告的企业和商家，纳入社会诚信体系</w:t>
      </w:r>
      <w:r>
        <w:rPr>
          <w:rFonts w:hint="default" w:ascii="宋体" w:hAnsi="宋体"/>
          <w:color w:val="auto"/>
          <w:sz w:val="32"/>
          <w:lang w:val="zh-CN"/>
        </w:rPr>
        <w:t>“</w:t>
      </w:r>
      <w:r>
        <w:rPr>
          <w:rFonts w:hint="eastAsia" w:ascii="宋体" w:hAnsi="宋体"/>
          <w:color w:val="auto"/>
          <w:sz w:val="32"/>
          <w:lang w:val="zh-CN"/>
        </w:rPr>
        <w:t>黑名单</w:t>
      </w:r>
      <w:r>
        <w:rPr>
          <w:rFonts w:hint="default" w:ascii="宋体" w:hAnsi="宋体"/>
          <w:color w:val="auto"/>
          <w:sz w:val="32"/>
          <w:lang w:val="zh-CN"/>
        </w:rPr>
        <w:t>”</w:t>
      </w:r>
      <w:r>
        <w:rPr>
          <w:rFonts w:hint="eastAsia" w:ascii="宋体" w:hAnsi="宋体"/>
          <w:color w:val="auto"/>
          <w:sz w:val="32"/>
          <w:lang w:val="zh-CN"/>
        </w:rPr>
        <w:t>，依法依规实施联合惩戒。（卫生健康委、市场监管总局、烟草局、教育部按职责分工负责）</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8.</w:t>
      </w:r>
      <w:r>
        <w:rPr>
          <w:rFonts w:hint="eastAsia" w:ascii="宋体" w:hAnsi="宋体"/>
          <w:color w:val="auto"/>
          <w:sz w:val="32"/>
          <w:lang w:val="zh-CN"/>
        </w:rPr>
        <w:t>加强各级专业机构控烟工作，确定专人负责相关工作组织实施，保障经费投入。建立监测评估系统，定期开展烟草流行调查，了解掌握烟草使用情况。（财政部、卫生健康委按职责分工负责）</w:t>
      </w:r>
    </w:p>
    <w:p>
      <w:pPr>
        <w:spacing w:beforeLines="0" w:afterLines="0" w:line="600" w:lineRule="atLeast"/>
        <w:ind w:firstLine="643"/>
        <w:rPr>
          <w:rFonts w:hint="default" w:ascii="Times New Roman" w:hAnsi="Times New Roman" w:eastAsia="Times New Roman"/>
          <w:b/>
          <w:color w:val="auto"/>
          <w:sz w:val="32"/>
          <w:lang w:val="en-US"/>
        </w:rPr>
      </w:pPr>
      <w:r>
        <w:rPr>
          <w:rFonts w:hint="eastAsia" w:ascii="宋体" w:hAnsi="宋体"/>
          <w:b/>
          <w:color w:val="auto"/>
          <w:sz w:val="32"/>
          <w:lang w:val="zh-CN"/>
        </w:rPr>
        <w:t>（五）心理健康促进行动。</w:t>
      </w:r>
    </w:p>
    <w:p>
      <w:pPr>
        <w:spacing w:beforeLines="0" w:afterLines="0" w:line="600" w:lineRule="atLeast"/>
        <w:ind w:firstLine="640"/>
        <w:rPr>
          <w:rFonts w:hint="default" w:ascii="Times New Roman" w:hAnsi="Times New Roman" w:eastAsia="Times New Roman"/>
          <w:color w:val="auto"/>
          <w:sz w:val="32"/>
          <w:lang w:val="en-US"/>
        </w:rPr>
      </w:pPr>
      <w:r>
        <w:rPr>
          <w:rFonts w:hint="eastAsia" w:ascii="宋体" w:hAnsi="宋体"/>
          <w:color w:val="auto"/>
          <w:sz w:val="32"/>
          <w:lang w:val="zh-CN"/>
        </w:rPr>
        <w:t>心理健康是人在成长和发展过程中，认知合理、情绪稳定、行为适当、人际和谐、适应变化的一种完好状态，是健康的重要组成部分。当前，我国常见精神障碍和心理行为问题人数逐年增多，个人极端情绪引发的恶性案（事）件时有发生。我国抑郁症患病率达到</w:t>
      </w:r>
      <w:r>
        <w:rPr>
          <w:rFonts w:hint="default" w:ascii="Times New Roman" w:hAnsi="Times New Roman" w:eastAsia="Times New Roman"/>
          <w:color w:val="auto"/>
          <w:sz w:val="32"/>
          <w:lang w:val="en-US"/>
        </w:rPr>
        <w:t>2.1%</w:t>
      </w:r>
      <w:r>
        <w:rPr>
          <w:rFonts w:hint="eastAsia" w:ascii="宋体" w:hAnsi="宋体"/>
          <w:color w:val="auto"/>
          <w:sz w:val="32"/>
          <w:lang w:val="zh-CN"/>
        </w:rPr>
        <w:t>，焦虑障碍患病率达</w:t>
      </w:r>
      <w:r>
        <w:rPr>
          <w:rFonts w:hint="default" w:ascii="Times New Roman" w:hAnsi="Times New Roman" w:eastAsia="Times New Roman"/>
          <w:color w:val="auto"/>
          <w:sz w:val="32"/>
          <w:lang w:val="en-US"/>
        </w:rPr>
        <w:t>4.98%</w:t>
      </w:r>
      <w:r>
        <w:rPr>
          <w:rFonts w:hint="eastAsia" w:ascii="宋体" w:hAnsi="宋体"/>
          <w:color w:val="auto"/>
          <w:sz w:val="32"/>
          <w:lang w:val="zh-CN"/>
        </w:rPr>
        <w:t>。截至</w:t>
      </w:r>
      <w:r>
        <w:rPr>
          <w:rFonts w:hint="default" w:ascii="Times New Roman" w:hAnsi="Times New Roman" w:eastAsia="Times New Roman"/>
          <w:color w:val="auto"/>
          <w:sz w:val="32"/>
          <w:lang w:val="en-US"/>
        </w:rPr>
        <w:t>2017</w:t>
      </w:r>
      <w:r>
        <w:rPr>
          <w:rFonts w:hint="eastAsia" w:ascii="宋体" w:hAnsi="宋体"/>
          <w:color w:val="auto"/>
          <w:sz w:val="32"/>
          <w:lang w:val="zh-CN"/>
        </w:rPr>
        <w:t>年底，全国已登记在册的严重精神障碍患者</w:t>
      </w:r>
      <w:r>
        <w:rPr>
          <w:rFonts w:hint="default" w:ascii="Times New Roman" w:hAnsi="Times New Roman" w:eastAsia="Times New Roman"/>
          <w:color w:val="auto"/>
          <w:sz w:val="32"/>
          <w:lang w:val="en-US"/>
        </w:rPr>
        <w:t>581</w:t>
      </w:r>
      <w:r>
        <w:rPr>
          <w:rFonts w:hint="eastAsia" w:ascii="宋体" w:hAnsi="宋体"/>
          <w:color w:val="auto"/>
          <w:sz w:val="32"/>
          <w:lang w:val="zh-CN"/>
        </w:rPr>
        <w:t>万人。同时，公众对常见精神障碍和心理行为问题的认知率仍比较低，更缺乏防治知识和主动就医意识，部分患者及家属仍然有病耻感。加强心理健康促进，有助于促进社会稳定和人际关系和谐、提升公众幸福感。</w:t>
      </w:r>
    </w:p>
    <w:p>
      <w:pPr>
        <w:spacing w:beforeLines="0" w:afterLines="0" w:line="600" w:lineRule="atLeast"/>
        <w:ind w:firstLine="640"/>
        <w:rPr>
          <w:rFonts w:hint="default" w:ascii="Times New Roman" w:hAnsi="Times New Roman" w:eastAsia="Times New Roman"/>
          <w:color w:val="auto"/>
          <w:sz w:val="32"/>
          <w:lang w:val="en-US"/>
        </w:rPr>
      </w:pPr>
      <w:r>
        <w:rPr>
          <w:rFonts w:hint="eastAsia" w:ascii="宋体" w:hAnsi="宋体"/>
          <w:color w:val="auto"/>
          <w:sz w:val="32"/>
          <w:lang w:val="zh-CN"/>
        </w:rPr>
        <w:t>行动目标：</w:t>
      </w:r>
    </w:p>
    <w:p>
      <w:pPr>
        <w:spacing w:beforeLines="0" w:afterLines="0" w:line="600" w:lineRule="atLeast"/>
        <w:ind w:firstLine="640"/>
        <w:rPr>
          <w:rFonts w:hint="default" w:ascii="Times New Roman" w:hAnsi="Times New Roman" w:eastAsia="Times New Roman"/>
          <w:color w:val="auto"/>
          <w:sz w:val="32"/>
          <w:lang w:val="en-US"/>
        </w:rPr>
      </w:pPr>
      <w:r>
        <w:rPr>
          <w:rFonts w:hint="eastAsia" w:ascii="宋体" w:hAnsi="宋体"/>
          <w:color w:val="auto"/>
          <w:sz w:val="32"/>
          <w:lang w:val="zh-CN"/>
        </w:rPr>
        <w:t>到</w:t>
      </w:r>
      <w:r>
        <w:rPr>
          <w:rFonts w:hint="default" w:ascii="Times New Roman" w:hAnsi="Times New Roman" w:eastAsia="Times New Roman"/>
          <w:color w:val="auto"/>
          <w:sz w:val="32"/>
          <w:lang w:val="en-US"/>
        </w:rPr>
        <w:t>2022</w:t>
      </w:r>
      <w:r>
        <w:rPr>
          <w:rFonts w:hint="eastAsia" w:ascii="宋体" w:hAnsi="宋体"/>
          <w:color w:val="auto"/>
          <w:sz w:val="32"/>
          <w:lang w:val="zh-CN"/>
        </w:rPr>
        <w:t>年和</w:t>
      </w:r>
      <w:r>
        <w:rPr>
          <w:rFonts w:hint="default" w:ascii="Times New Roman" w:hAnsi="Times New Roman" w:eastAsia="Times New Roman"/>
          <w:color w:val="auto"/>
          <w:sz w:val="32"/>
          <w:lang w:val="en-US"/>
        </w:rPr>
        <w:t>2030</w:t>
      </w:r>
      <w:r>
        <w:rPr>
          <w:rFonts w:hint="eastAsia" w:ascii="宋体" w:hAnsi="宋体"/>
          <w:color w:val="auto"/>
          <w:sz w:val="32"/>
          <w:lang w:val="zh-CN"/>
        </w:rPr>
        <w:t>年，居民心理健康素养水平提升到</w:t>
      </w:r>
      <w:r>
        <w:rPr>
          <w:rFonts w:hint="default" w:ascii="Times New Roman" w:hAnsi="Times New Roman" w:eastAsia="Times New Roman"/>
          <w:color w:val="auto"/>
          <w:sz w:val="32"/>
          <w:lang w:val="en-US"/>
        </w:rPr>
        <w:t>20%</w:t>
      </w:r>
      <w:r>
        <w:rPr>
          <w:rFonts w:hint="eastAsia" w:ascii="宋体" w:hAnsi="宋体"/>
          <w:color w:val="auto"/>
          <w:sz w:val="32"/>
          <w:lang w:val="zh-CN"/>
        </w:rPr>
        <w:t>和</w:t>
      </w:r>
      <w:r>
        <w:rPr>
          <w:rFonts w:hint="default" w:ascii="Times New Roman" w:hAnsi="Times New Roman" w:eastAsia="Times New Roman"/>
          <w:color w:val="auto"/>
          <w:sz w:val="32"/>
          <w:lang w:val="en-US"/>
        </w:rPr>
        <w:t>30%</w:t>
      </w:r>
      <w:r>
        <w:rPr>
          <w:rFonts w:hint="eastAsia" w:ascii="宋体" w:hAnsi="宋体"/>
          <w:color w:val="auto"/>
          <w:sz w:val="32"/>
          <w:lang w:val="zh-CN"/>
        </w:rPr>
        <w:t>；失眠现患率、焦虑障碍患病率、抑郁症患病率上升趋势减缓；每</w:t>
      </w:r>
      <w:r>
        <w:rPr>
          <w:rFonts w:hint="default" w:ascii="Times New Roman" w:hAnsi="Times New Roman" w:eastAsia="Times New Roman"/>
          <w:color w:val="auto"/>
          <w:sz w:val="32"/>
          <w:lang w:val="en-US"/>
        </w:rPr>
        <w:t>10</w:t>
      </w:r>
      <w:r>
        <w:rPr>
          <w:rFonts w:hint="eastAsia" w:ascii="宋体" w:hAnsi="宋体"/>
          <w:color w:val="auto"/>
          <w:sz w:val="32"/>
          <w:lang w:val="zh-CN"/>
        </w:rPr>
        <w:t>万人口精神科执业（助理）医师达到</w:t>
      </w:r>
      <w:r>
        <w:rPr>
          <w:rFonts w:hint="default" w:ascii="Times New Roman" w:hAnsi="Times New Roman" w:eastAsia="Times New Roman"/>
          <w:color w:val="auto"/>
          <w:sz w:val="32"/>
          <w:lang w:val="en-US"/>
        </w:rPr>
        <w:t>3.3</w:t>
      </w:r>
      <w:r>
        <w:rPr>
          <w:rFonts w:hint="eastAsia" w:ascii="宋体" w:hAnsi="宋体"/>
          <w:color w:val="auto"/>
          <w:sz w:val="32"/>
          <w:lang w:val="zh-CN"/>
        </w:rPr>
        <w:t>名和</w:t>
      </w:r>
      <w:r>
        <w:rPr>
          <w:rFonts w:hint="default" w:ascii="Times New Roman" w:hAnsi="Times New Roman" w:eastAsia="Times New Roman"/>
          <w:color w:val="auto"/>
          <w:sz w:val="32"/>
          <w:lang w:val="en-US"/>
        </w:rPr>
        <w:t>4.5</w:t>
      </w:r>
      <w:r>
        <w:rPr>
          <w:rFonts w:hint="eastAsia" w:ascii="宋体" w:hAnsi="宋体"/>
          <w:color w:val="auto"/>
          <w:sz w:val="32"/>
          <w:lang w:val="zh-CN"/>
        </w:rPr>
        <w:t>名；抑郁症治疗率在现有基础上提高</w:t>
      </w:r>
      <w:r>
        <w:rPr>
          <w:rFonts w:hint="default" w:ascii="Times New Roman" w:hAnsi="Times New Roman" w:eastAsia="Times New Roman"/>
          <w:color w:val="auto"/>
          <w:sz w:val="32"/>
          <w:lang w:val="en-US"/>
        </w:rPr>
        <w:t>30%</w:t>
      </w:r>
      <w:r>
        <w:rPr>
          <w:rFonts w:hint="eastAsia" w:ascii="宋体" w:hAnsi="宋体"/>
          <w:color w:val="auto"/>
          <w:sz w:val="32"/>
          <w:lang w:val="zh-CN"/>
        </w:rPr>
        <w:t>和</w:t>
      </w:r>
      <w:r>
        <w:rPr>
          <w:rFonts w:hint="default" w:ascii="Times New Roman" w:hAnsi="Times New Roman" w:eastAsia="Times New Roman"/>
          <w:color w:val="auto"/>
          <w:sz w:val="32"/>
          <w:lang w:val="en-US"/>
        </w:rPr>
        <w:t>80%</w:t>
      </w:r>
      <w:r>
        <w:rPr>
          <w:rFonts w:hint="eastAsia" w:ascii="宋体" w:hAnsi="宋体"/>
          <w:color w:val="auto"/>
          <w:sz w:val="32"/>
          <w:lang w:val="zh-CN"/>
        </w:rPr>
        <w:t>；登记在册的精神分裂症治疗率达到</w:t>
      </w:r>
      <w:r>
        <w:rPr>
          <w:rFonts w:hint="default" w:ascii="Times New Roman" w:hAnsi="Times New Roman" w:eastAsia="Times New Roman"/>
          <w:color w:val="auto"/>
          <w:sz w:val="32"/>
          <w:lang w:val="en-US"/>
        </w:rPr>
        <w:t>80%</w:t>
      </w:r>
      <w:r>
        <w:rPr>
          <w:rFonts w:hint="eastAsia" w:ascii="宋体" w:hAnsi="宋体"/>
          <w:color w:val="auto"/>
          <w:sz w:val="32"/>
          <w:lang w:val="zh-CN"/>
        </w:rPr>
        <w:t>和</w:t>
      </w:r>
      <w:r>
        <w:rPr>
          <w:rFonts w:hint="default" w:ascii="Times New Roman" w:hAnsi="Times New Roman" w:eastAsia="Times New Roman"/>
          <w:color w:val="auto"/>
          <w:sz w:val="32"/>
          <w:lang w:val="en-US"/>
        </w:rPr>
        <w:t>85%</w:t>
      </w:r>
      <w:r>
        <w:rPr>
          <w:rFonts w:hint="eastAsia" w:ascii="宋体" w:hAnsi="宋体"/>
          <w:color w:val="auto"/>
          <w:sz w:val="32"/>
          <w:lang w:val="zh-CN"/>
        </w:rPr>
        <w:t>；登记在册的严重精神障碍患者规范管理率达到</w:t>
      </w:r>
      <w:r>
        <w:rPr>
          <w:rFonts w:hint="default" w:ascii="Times New Roman" w:hAnsi="Times New Roman" w:eastAsia="Times New Roman"/>
          <w:color w:val="auto"/>
          <w:sz w:val="32"/>
          <w:lang w:val="en-US"/>
        </w:rPr>
        <w:t>80%</w:t>
      </w:r>
      <w:r>
        <w:rPr>
          <w:rFonts w:hint="eastAsia" w:ascii="宋体" w:hAnsi="宋体"/>
          <w:color w:val="auto"/>
          <w:sz w:val="32"/>
          <w:lang w:val="zh-CN"/>
        </w:rPr>
        <w:t>和</w:t>
      </w:r>
      <w:r>
        <w:rPr>
          <w:rFonts w:hint="default" w:ascii="Times New Roman" w:hAnsi="Times New Roman" w:eastAsia="Times New Roman"/>
          <w:color w:val="auto"/>
          <w:sz w:val="32"/>
          <w:lang w:val="en-US"/>
        </w:rPr>
        <w:t>85%</w:t>
      </w:r>
      <w:r>
        <w:rPr>
          <w:rFonts w:hint="eastAsia" w:ascii="宋体" w:hAnsi="宋体"/>
          <w:color w:val="auto"/>
          <w:sz w:val="32"/>
          <w:lang w:val="zh-CN"/>
        </w:rPr>
        <w:t>；建立精神卫生医疗机构、社区康复机构及社会组织、家庭相互衔接的精神障碍社区康复服务体系，建立和完善心理健康教育、心理热线服务、心理评估、心理咨询、心理治疗、精神科治疗等衔接合作的心理危机干预和心理援助服务模式。</w:t>
      </w:r>
    </w:p>
    <w:p>
      <w:pPr>
        <w:spacing w:beforeLines="0" w:afterLines="0" w:line="600" w:lineRule="atLeast"/>
        <w:ind w:firstLine="640"/>
        <w:rPr>
          <w:rFonts w:hint="default" w:ascii="Times New Roman" w:hAnsi="Times New Roman" w:eastAsia="Times New Roman"/>
          <w:color w:val="auto"/>
          <w:sz w:val="32"/>
          <w:lang w:val="en-US"/>
        </w:rPr>
      </w:pPr>
      <w:r>
        <w:rPr>
          <w:rFonts w:hint="eastAsia" w:ascii="宋体" w:hAnsi="宋体"/>
          <w:color w:val="auto"/>
          <w:sz w:val="32"/>
          <w:lang w:val="zh-CN"/>
        </w:rPr>
        <w:t>提倡成人每日平均睡眠时间为</w:t>
      </w:r>
      <w:r>
        <w:rPr>
          <w:rFonts w:hint="default" w:ascii="Times New Roman" w:hAnsi="Times New Roman" w:eastAsia="Times New Roman"/>
          <w:color w:val="auto"/>
          <w:sz w:val="32"/>
          <w:lang w:val="en-US"/>
        </w:rPr>
        <w:t>7</w:t>
      </w:r>
      <w:r>
        <w:rPr>
          <w:rFonts w:hint="eastAsia" w:ascii="宋体" w:hAnsi="宋体"/>
          <w:color w:val="auto"/>
          <w:sz w:val="32"/>
          <w:lang w:val="zh-CN"/>
        </w:rPr>
        <w:t>～</w:t>
      </w:r>
      <w:r>
        <w:rPr>
          <w:rFonts w:hint="default" w:ascii="Times New Roman" w:hAnsi="Times New Roman" w:eastAsia="Times New Roman"/>
          <w:color w:val="auto"/>
          <w:sz w:val="32"/>
          <w:lang w:val="en-US"/>
        </w:rPr>
        <w:t>8</w:t>
      </w:r>
      <w:r>
        <w:rPr>
          <w:rFonts w:hint="eastAsia" w:ascii="宋体" w:hAnsi="宋体"/>
          <w:color w:val="auto"/>
          <w:sz w:val="32"/>
          <w:lang w:val="zh-CN"/>
        </w:rPr>
        <w:t>小时；鼓励个人正确认识抑郁和焦虑症状，掌握基本的情绪管理、压力管理等自我心理调适方法；各类临床医务人员主动掌握心理健康知识和技能，应用于临床诊疗活动中。</w:t>
      </w:r>
    </w:p>
    <w:p>
      <w:pPr>
        <w:spacing w:beforeLines="0" w:afterLines="0" w:line="600" w:lineRule="atLeast"/>
        <w:ind w:firstLine="643"/>
        <w:rPr>
          <w:rFonts w:hint="default" w:ascii="Times New Roman" w:hAnsi="Times New Roman" w:eastAsia="Times New Roman"/>
          <w:b/>
          <w:color w:val="auto"/>
          <w:sz w:val="32"/>
          <w:lang w:val="en-US"/>
        </w:rPr>
      </w:pPr>
      <w:r>
        <w:rPr>
          <w:rFonts w:hint="default" w:ascii="宋体" w:hAnsi="宋体"/>
          <w:b/>
          <w:color w:val="auto"/>
          <w:sz w:val="32"/>
          <w:lang w:val="zh-CN"/>
        </w:rPr>
        <w:t>——</w:t>
      </w:r>
      <w:r>
        <w:rPr>
          <w:rFonts w:hint="eastAsia" w:ascii="宋体" w:hAnsi="宋体"/>
          <w:b/>
          <w:color w:val="auto"/>
          <w:sz w:val="32"/>
          <w:lang w:val="zh-CN"/>
        </w:rPr>
        <w:t>个人和家庭：</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1.</w:t>
      </w:r>
      <w:r>
        <w:rPr>
          <w:rFonts w:hint="eastAsia" w:ascii="宋体" w:hAnsi="宋体"/>
          <w:color w:val="auto"/>
          <w:sz w:val="32"/>
          <w:lang w:val="zh-CN"/>
        </w:rPr>
        <w:t>提高心理健康意识，追求心身共同健康。每个人一生中可能会遇到多种心理健康问题，主动学习和了解心理健康知识，科学认识心理健康与身体健康之间的相互影响，保持积极健康的情绪，避免持续消极情绪对身体健康造成伤害。倡导养德养生理念，保持中和之道，提高心理复原力。在身体疾病的治疗中，要重视心理因素的作用。自我调适不能缓解时，可选择寻求心理咨询与心理治疗，及时疏导情绪，预防心理行为问题和精神障碍发生。</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2.</w:t>
      </w:r>
      <w:r>
        <w:rPr>
          <w:rFonts w:hint="eastAsia" w:ascii="宋体" w:hAnsi="宋体"/>
          <w:color w:val="auto"/>
          <w:sz w:val="32"/>
          <w:lang w:val="zh-CN"/>
        </w:rPr>
        <w:t>使用科学的方法缓解压力。保持乐观、开朗、豁达的生活态度，合理设定自己的目标。正确认识重大生活、工作变故等事件对人的心理造成的影响，学习基本的减压知识，学会科学有益的心理调适方法。学习并运用健康的减压方式，避免使用吸烟、饮酒、沉迷网络或游戏等不健康的减压方式。学会调整自己的状态，找出不良情绪背后的消极想法，根据客观现实进行调整，减少非理性的认识。建立良好的人际关系，积极寻求人际支持，适当倾诉与求助。保持健康的生活方式，积极参加社会活动，培养健康的兴趣爱好。</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3.</w:t>
      </w:r>
      <w:r>
        <w:rPr>
          <w:rFonts w:hint="eastAsia" w:ascii="宋体" w:hAnsi="宋体"/>
          <w:color w:val="auto"/>
          <w:sz w:val="32"/>
          <w:lang w:val="zh-CN"/>
        </w:rPr>
        <w:t>重视睡眠健康。每天保证充足的睡眠时间，工作、学习、娱乐、休息都要按作息规律进行，注意起居有常。了解睡眠不足和睡眠问题带来的不良心理影响，出现睡眠不足及时设法弥补，出现睡眠问题及时就医。要在专业指导下用科学的方法改善睡眠，服用药物需遵医嘱。</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4.</w:t>
      </w:r>
      <w:r>
        <w:rPr>
          <w:rFonts w:hint="eastAsia" w:ascii="宋体" w:hAnsi="宋体"/>
          <w:color w:val="auto"/>
          <w:sz w:val="32"/>
          <w:lang w:val="zh-CN"/>
        </w:rPr>
        <w:t>培养科学运动的习惯。选择并培养适合自己的运动爱好，积极发挥运动对情绪的调节作用，在出现轻度情绪困扰时，可结合运动促进情绪缓解。</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5.</w:t>
      </w:r>
      <w:r>
        <w:rPr>
          <w:rFonts w:hint="eastAsia" w:ascii="宋体" w:hAnsi="宋体"/>
          <w:color w:val="auto"/>
          <w:sz w:val="32"/>
          <w:lang w:val="zh-CN"/>
        </w:rPr>
        <w:t>正确认识抑郁、焦虑等常见情绪问题。出现心情压抑、愉悦感缺乏、兴趣丧失，伴有精力下降、食欲下降、睡眠障碍、自我评价下降、对未来感到悲观失望等表现，甚至有自伤、自杀的念头或行为，持续存在</w:t>
      </w:r>
      <w:r>
        <w:rPr>
          <w:rFonts w:hint="default" w:ascii="Times New Roman" w:hAnsi="Times New Roman" w:eastAsia="Times New Roman"/>
          <w:color w:val="auto"/>
          <w:sz w:val="32"/>
          <w:lang w:val="en-US"/>
        </w:rPr>
        <w:t>2</w:t>
      </w:r>
      <w:r>
        <w:rPr>
          <w:rFonts w:hint="eastAsia" w:ascii="宋体" w:hAnsi="宋体"/>
          <w:color w:val="auto"/>
          <w:sz w:val="32"/>
          <w:lang w:val="zh-CN"/>
        </w:rPr>
        <w:t>周以上，可能患有抑郁障碍；突然或经常莫名其妙地感到紧张、害怕、恐惧，常伴有明显的心慌、出汗、头晕、口干、呼吸急促等躯体症状，严重时有濒死感、失控感，如频繁发生，可能患有焦虑障碍。一过性的或短期的抑郁、焦虑情绪，可通过自我调适或心理咨询予以缓解和消除，不用过分担心。抑郁障碍、焦虑障碍可以通过药物、心理干预或两者相结合的方式治疗。</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6.</w:t>
      </w:r>
      <w:r>
        <w:rPr>
          <w:rFonts w:hint="eastAsia" w:ascii="宋体" w:hAnsi="宋体"/>
          <w:color w:val="auto"/>
          <w:sz w:val="32"/>
          <w:lang w:val="zh-CN"/>
        </w:rPr>
        <w:t>出现心理行为问题要及时求助。可以向医院的相关科室、专业的心理咨询机构和社会工作服务机构等寻求专业帮助。要认识到求助于专业人员既不等于自己有病，更不等于病情严重，而是负责任、有能力的表现。</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7.</w:t>
      </w:r>
      <w:r>
        <w:rPr>
          <w:rFonts w:hint="eastAsia" w:ascii="宋体" w:hAnsi="宋体"/>
          <w:color w:val="auto"/>
          <w:sz w:val="32"/>
          <w:lang w:val="zh-CN"/>
        </w:rPr>
        <w:t>精神疾病治疗要遵医嘱。诊断精神疾病，要去精神专科医院或综合医院专科门诊。确诊后应及时接受正规治疗，听从医生的建议选择住院治疗或门诊治疗，主动执行治疗方案，遵照医嘱全程、不间断、按时按量服药，在病情得到有效控制后，不急于减药、停药。门诊按时复诊，及时、如实地向医生反馈治疗情况，听从医生指导。精神类药物必须在医生的指导下使用，不得自行任意服用。</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8.</w:t>
      </w:r>
      <w:r>
        <w:rPr>
          <w:rFonts w:hint="eastAsia" w:ascii="宋体" w:hAnsi="宋体"/>
          <w:color w:val="auto"/>
          <w:sz w:val="32"/>
          <w:lang w:val="zh-CN"/>
        </w:rPr>
        <w:t>关怀和理解精神疾病患者，减少歧视。学习了解精神疾病的基本知识，知道精神疾病是可以预防和治疗的，尊重精神病人，不歧视患者。要认识到精神疾病在得到有效治疗后，可以缓解和康复，可以承担家庭功能与工作职能。要为精神疾病患者及其家属、照护者提供支持性的环境，提高患者心理行为技能，使其获得自我价值感。</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9.</w:t>
      </w:r>
      <w:r>
        <w:rPr>
          <w:rFonts w:hint="eastAsia" w:ascii="宋体" w:hAnsi="宋体"/>
          <w:color w:val="auto"/>
          <w:sz w:val="32"/>
          <w:lang w:val="zh-CN"/>
        </w:rPr>
        <w:t>关注家庭成员心理状况。家庭成员之间要平等沟通交流，尊重家庭成员的不同心理需求。当与家庭成员发生矛盾时，不采用过激的言语或伤害行为，不冷漠回避，而是要积极沟通加以解决。及时疏导不良情绪，营造相互理解、相互信任、相互支持、相互关爱的家庭氛围和融洽的家庭关系。</w:t>
      </w:r>
    </w:p>
    <w:p>
      <w:pPr>
        <w:spacing w:beforeLines="0" w:afterLines="0" w:line="600" w:lineRule="atLeast"/>
        <w:ind w:firstLine="643"/>
        <w:rPr>
          <w:rFonts w:hint="default" w:ascii="Times New Roman" w:hAnsi="Times New Roman" w:eastAsia="Times New Roman"/>
          <w:b/>
          <w:color w:val="auto"/>
          <w:sz w:val="32"/>
          <w:lang w:val="en-US"/>
        </w:rPr>
      </w:pPr>
      <w:r>
        <w:rPr>
          <w:rFonts w:hint="default" w:ascii="宋体" w:hAnsi="宋体"/>
          <w:b/>
          <w:color w:val="auto"/>
          <w:sz w:val="32"/>
          <w:lang w:val="zh-CN"/>
        </w:rPr>
        <w:t>——</w:t>
      </w:r>
      <w:r>
        <w:rPr>
          <w:rFonts w:hint="eastAsia" w:ascii="宋体" w:hAnsi="宋体"/>
          <w:b/>
          <w:color w:val="auto"/>
          <w:sz w:val="32"/>
          <w:lang w:val="zh-CN"/>
        </w:rPr>
        <w:t>社会：</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1.</w:t>
      </w:r>
      <w:r>
        <w:rPr>
          <w:rFonts w:hint="eastAsia" w:ascii="宋体" w:hAnsi="宋体"/>
          <w:color w:val="auto"/>
          <w:sz w:val="32"/>
          <w:lang w:val="zh-CN"/>
        </w:rPr>
        <w:t>各级各类医疗机构和专业心理健康服务机构对发现存在心理行为问题的个体，提供规范的诊疗服务，减轻患者心理痛苦，促进患者康复。医务人员应对身体疾病，特别是癌症、心脑血管疾病、糖尿病、消化系统疾病等患者及其家属适当辅以心理调整。鼓励医疗机构开展睡眠相关诊疗服务，提供科学睡眠指导，减少成年人睡眠问题的发生。专业人员可指导使用运动方案辅助治疗抑郁、焦虑等常见心理行为问题。鼓励相关社会组织、高等院校、科研院所、医疗机构对心理健康从业人员开展服务技能和伦理道德的培训，提升服务能力。</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2.</w:t>
      </w:r>
      <w:r>
        <w:rPr>
          <w:rFonts w:hint="eastAsia" w:ascii="宋体" w:hAnsi="宋体"/>
          <w:color w:val="auto"/>
          <w:sz w:val="32"/>
          <w:lang w:val="zh-CN"/>
        </w:rPr>
        <w:t>发挥精神卫生医疗机构作用，对各类临床科室医务人员开展心理健康知识和技能培训，普及心理咨询和治疗技术在临床诊疗中的应用，提高抑郁、焦虑、认知障碍、孤独症等心理行为问题和常见精神障碍的筛查、识别、处置能力。推广中医心理调摄特色技术方法在临床诊疗中的应用。</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3.</w:t>
      </w:r>
      <w:r>
        <w:rPr>
          <w:rFonts w:hint="eastAsia" w:ascii="宋体" w:hAnsi="宋体"/>
          <w:color w:val="auto"/>
          <w:sz w:val="32"/>
          <w:lang w:val="zh-CN"/>
        </w:rPr>
        <w:t>各机关、企事业单位、高校和其他用人单位把心理健康教育融入员工（学生）思想政治工作，鼓励依托本单位党团、工会、人力资源部门、卫生室等设立心理健康辅导室并建立心理健康服务团队，或通过购买服务形式，为员工（学生）提供健康宣传、心理评估、教育培训、咨询辅导等服务，传授情绪管理、压力管理等自我心理调适方法和抑郁、焦虑等常见心理行为问题的识别方法，为员工（学生）主动寻求心理健康服务创造条件。对处于特定时期、特定岗位，或经历特殊突发事件的员工（学生），及时进行心理疏导和援助。</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4.</w:t>
      </w:r>
      <w:r>
        <w:rPr>
          <w:rFonts w:hint="eastAsia" w:ascii="宋体" w:hAnsi="宋体"/>
          <w:color w:val="auto"/>
          <w:sz w:val="32"/>
          <w:lang w:val="zh-CN"/>
        </w:rPr>
        <w:t>鼓励老年大学、老年活动中心、基层老年协会、妇女之家、残疾人康复机构及有资质的社会组织等宣传心理健康知识。培训专兼职社会工作者和心理工作者，引入社会力量，为空巢、丧偶、失能、失智老年人，留守妇女儿童，残疾人和计划生育特殊家庭成员提供心理辅导、情绪疏解、悲伤抚慰、家庭关系调适等心理健康服务。</w:t>
      </w:r>
    </w:p>
    <w:p>
      <w:pPr>
        <w:spacing w:beforeLines="0" w:afterLines="0" w:line="600" w:lineRule="atLeast"/>
        <w:ind w:firstLine="643"/>
        <w:rPr>
          <w:rFonts w:hint="default" w:ascii="Times New Roman" w:hAnsi="Times New Roman" w:eastAsia="Times New Roman"/>
          <w:b/>
          <w:color w:val="auto"/>
          <w:sz w:val="32"/>
          <w:lang w:val="en-US"/>
        </w:rPr>
      </w:pPr>
      <w:r>
        <w:rPr>
          <w:rFonts w:hint="default" w:ascii="宋体" w:hAnsi="宋体"/>
          <w:b/>
          <w:color w:val="auto"/>
          <w:sz w:val="32"/>
          <w:lang w:val="zh-CN"/>
        </w:rPr>
        <w:t>——</w:t>
      </w:r>
      <w:r>
        <w:rPr>
          <w:rFonts w:hint="eastAsia" w:ascii="宋体" w:hAnsi="宋体"/>
          <w:b/>
          <w:color w:val="auto"/>
          <w:sz w:val="32"/>
          <w:lang w:val="zh-CN"/>
        </w:rPr>
        <w:t>政府：</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1.</w:t>
      </w:r>
      <w:r>
        <w:rPr>
          <w:rFonts w:hint="eastAsia" w:ascii="宋体" w:hAnsi="宋体"/>
          <w:color w:val="auto"/>
          <w:sz w:val="32"/>
          <w:lang w:val="zh-CN"/>
        </w:rPr>
        <w:t>充分利用广播、电视、书刊、动漫等形式，广泛运用门户网站、微信、微博、移动客户端等平台，组织创作、播出心理健康宣传教育精品和公益广告，传播自尊自信、乐观向上的现代文明理念和心理健康知识。（中央宣传部、中央网信办、卫生健康委、广电总局按职责分工负责）</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2.</w:t>
      </w:r>
      <w:r>
        <w:rPr>
          <w:rFonts w:hint="eastAsia" w:ascii="宋体" w:hAnsi="宋体"/>
          <w:color w:val="auto"/>
          <w:sz w:val="32"/>
          <w:lang w:val="zh-CN"/>
        </w:rPr>
        <w:t>依托城乡社区综治中心等综合服务管理机构及设施建立心理咨询（辅导）室或社会工作室（站），配备专兼职心理健康辅导人员或社会工作者，搭建基层心理健康服务平台。整合社会资源，设立市县级未成年人心理健康辅导中心，完善未成年人心理健康辅导网络。培育社会化的心理健康服务机构，鼓励心理咨询专业人员创办社会心理服务机构。通过向社会心理服务机构购买服务等方式，逐步扩大服务覆盖面。（中央政法委、中央文明办、教育部、民政部、卫生健康委按职责分工负责）</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3.</w:t>
      </w:r>
      <w:r>
        <w:rPr>
          <w:rFonts w:hint="eastAsia" w:ascii="宋体" w:hAnsi="宋体"/>
          <w:color w:val="auto"/>
          <w:sz w:val="32"/>
          <w:lang w:val="zh-CN"/>
        </w:rPr>
        <w:t>加大应用型心理健康工作人员培养力度，推进高等院校开设相关专业。进一步加强心理健康工作人员培养和使用的制度建设，积极设立心理健康服务岗位。支持精神卫生医疗机构能力建设，完善人事薪酬分配制度，体现心理治疗服务的劳务价值。逐步将心理健康工作人员纳入专业技术岗位设置与管理体系，畅通职业发展渠道。（教育部、财政部、人力资源社会保障部、卫生健康委、医保局按职责分工负责）</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4.</w:t>
      </w:r>
      <w:r>
        <w:rPr>
          <w:rFonts w:hint="eastAsia" w:ascii="宋体" w:hAnsi="宋体"/>
          <w:color w:val="auto"/>
          <w:sz w:val="32"/>
          <w:lang w:val="zh-CN"/>
        </w:rPr>
        <w:t>各级政法、卫生健康部门会同公安、民政、司法行政、残联等单位建立精神卫生综合管理机制，多渠道开展严重精神障碍患者日常发现、登记、随访、危险性评估、服药指导等服务，动员社区组织、患者家属参与居家患者管理服务。建立精神卫生医疗机构、社区康复机构及社会组织、家庭相互衔接的精神障碍社区康复服务体系，加强精神卫生医疗机构对社区康复机构的技术指导。到</w:t>
      </w:r>
      <w:r>
        <w:rPr>
          <w:rFonts w:hint="default" w:ascii="Times New Roman" w:hAnsi="Times New Roman" w:eastAsia="Times New Roman"/>
          <w:color w:val="auto"/>
          <w:sz w:val="32"/>
          <w:lang w:val="en-US"/>
        </w:rPr>
        <w:t>2030</w:t>
      </w:r>
      <w:r>
        <w:rPr>
          <w:rFonts w:hint="eastAsia" w:ascii="宋体" w:hAnsi="宋体"/>
          <w:color w:val="auto"/>
          <w:sz w:val="32"/>
          <w:lang w:val="zh-CN"/>
        </w:rPr>
        <w:t>年底，</w:t>
      </w:r>
      <w:r>
        <w:rPr>
          <w:rFonts w:hint="default" w:ascii="Times New Roman" w:hAnsi="Times New Roman" w:eastAsia="Times New Roman"/>
          <w:color w:val="auto"/>
          <w:sz w:val="32"/>
          <w:lang w:val="en-US"/>
        </w:rPr>
        <w:t>80%</w:t>
      </w:r>
      <w:r>
        <w:rPr>
          <w:rFonts w:hint="eastAsia" w:ascii="宋体" w:hAnsi="宋体"/>
          <w:color w:val="auto"/>
          <w:sz w:val="32"/>
          <w:lang w:val="zh-CN"/>
        </w:rPr>
        <w:t>以上的县（市、区）开展社区康复服务，在开展精神障碍社区康复的县（市、区），</w:t>
      </w:r>
      <w:r>
        <w:rPr>
          <w:rFonts w:hint="default" w:ascii="Times New Roman" w:hAnsi="Times New Roman" w:eastAsia="Times New Roman"/>
          <w:color w:val="auto"/>
          <w:sz w:val="32"/>
          <w:lang w:val="en-US"/>
        </w:rPr>
        <w:t>60%</w:t>
      </w:r>
      <w:r>
        <w:rPr>
          <w:rFonts w:hint="eastAsia" w:ascii="宋体" w:hAnsi="宋体"/>
          <w:color w:val="auto"/>
          <w:sz w:val="32"/>
          <w:lang w:val="zh-CN"/>
        </w:rPr>
        <w:t>以上的居家患者接受社区康复服务。鼓励和引导通过举办精神障碍社区康复机构或通过政府购买服务等方式委托社会组织提供精神卫生社区康复服务。（中央政法委、公安部、民政部、司法部、卫生健康委、中国残联按职责分工负责）</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5.</w:t>
      </w:r>
      <w:r>
        <w:rPr>
          <w:rFonts w:hint="eastAsia" w:ascii="宋体" w:hAnsi="宋体"/>
          <w:color w:val="auto"/>
          <w:sz w:val="32"/>
          <w:lang w:val="zh-CN"/>
        </w:rPr>
        <w:t>重视并开展心理危机干预和心理援助工作。卫生健康、政法、民政等单位建立和完善心理健康教育、心理热线服务、心理评估、心理咨询、心理治疗、精神科治疗等衔接合作的心理危机干预和心理援助服务模式。将心理危机干预和心理援助纳入各类突发事件应急预案和技术方案，加强心理危机干预和心理援助队伍的专业化、系统化建设。相关部门推动建立为公众提供公益服务的心理援助热线，由专业人员接听，对来电者开展心理健康教育、心理咨询和心理危机干预，降低来电者自杀或自伤的风险。（卫生健康委牵头，中央政法委、公安部、民政部按职责分工负责）</w:t>
      </w:r>
    </w:p>
    <w:p>
      <w:pPr>
        <w:spacing w:beforeLines="0" w:afterLines="0" w:line="600" w:lineRule="atLeast"/>
        <w:ind w:firstLine="643"/>
        <w:rPr>
          <w:rFonts w:hint="default" w:ascii="Times New Roman" w:hAnsi="Times New Roman" w:eastAsia="Times New Roman"/>
          <w:b/>
          <w:color w:val="auto"/>
          <w:sz w:val="32"/>
          <w:lang w:val="en-US"/>
        </w:rPr>
      </w:pPr>
      <w:r>
        <w:rPr>
          <w:rFonts w:hint="eastAsia" w:ascii="宋体" w:hAnsi="宋体"/>
          <w:b/>
          <w:color w:val="auto"/>
          <w:sz w:val="32"/>
          <w:lang w:val="zh-CN"/>
        </w:rPr>
        <w:t>（六）健康环境促进行动。</w:t>
      </w:r>
    </w:p>
    <w:p>
      <w:pPr>
        <w:spacing w:beforeLines="0" w:afterLines="0" w:line="600" w:lineRule="atLeast"/>
        <w:ind w:firstLine="640"/>
        <w:rPr>
          <w:rFonts w:hint="default" w:ascii="Times New Roman" w:hAnsi="Times New Roman" w:eastAsia="Times New Roman"/>
          <w:color w:val="auto"/>
          <w:sz w:val="32"/>
          <w:lang w:val="en-US"/>
        </w:rPr>
      </w:pPr>
      <w:r>
        <w:rPr>
          <w:rFonts w:hint="eastAsia" w:ascii="宋体" w:hAnsi="宋体"/>
          <w:color w:val="auto"/>
          <w:sz w:val="32"/>
          <w:lang w:val="zh-CN"/>
        </w:rPr>
        <w:t>健康环境是人民群众健康的重要保障。影响健康的环境因素不仅包括物理、化学和生物等自然环境因素，还包括社会环境因素。环境污染已成为不容忽视的健康危险因素，与环境污染相关的心血管疾病、呼吸系统疾病和恶性肿瘤等问题日益凸显。我国每年因伤害死亡人数约</w:t>
      </w:r>
      <w:r>
        <w:rPr>
          <w:rFonts w:hint="default" w:ascii="Times New Roman" w:hAnsi="Times New Roman" w:eastAsia="Times New Roman"/>
          <w:color w:val="auto"/>
          <w:sz w:val="32"/>
          <w:lang w:val="en-US"/>
        </w:rPr>
        <w:t>68</w:t>
      </w:r>
      <w:r>
        <w:rPr>
          <w:rFonts w:hint="eastAsia" w:ascii="宋体" w:hAnsi="宋体"/>
          <w:color w:val="auto"/>
          <w:sz w:val="32"/>
          <w:lang w:val="zh-CN"/>
        </w:rPr>
        <w:t>万人，约占死亡总人数的</w:t>
      </w:r>
      <w:r>
        <w:rPr>
          <w:rFonts w:hint="default" w:ascii="Times New Roman" w:hAnsi="Times New Roman" w:eastAsia="Times New Roman"/>
          <w:color w:val="auto"/>
          <w:sz w:val="32"/>
          <w:lang w:val="en-US"/>
        </w:rPr>
        <w:t>7%</w:t>
      </w:r>
      <w:r>
        <w:rPr>
          <w:rFonts w:hint="eastAsia" w:ascii="宋体" w:hAnsi="宋体"/>
          <w:color w:val="auto"/>
          <w:sz w:val="32"/>
          <w:lang w:val="zh-CN"/>
        </w:rPr>
        <w:t>。目前最为常见的伤害主要有道路交通事故伤害、跌倒、自杀、溺水、中毒等，其所导致的死亡占全部伤害死亡的</w:t>
      </w:r>
      <w:r>
        <w:rPr>
          <w:rFonts w:hint="default" w:ascii="Times New Roman" w:hAnsi="Times New Roman" w:eastAsia="Times New Roman"/>
          <w:color w:val="auto"/>
          <w:sz w:val="32"/>
          <w:lang w:val="en-US"/>
        </w:rPr>
        <w:t>84%</w:t>
      </w:r>
      <w:r>
        <w:rPr>
          <w:rFonts w:hint="eastAsia" w:ascii="宋体" w:hAnsi="宋体"/>
          <w:color w:val="auto"/>
          <w:sz w:val="32"/>
          <w:lang w:val="zh-CN"/>
        </w:rPr>
        <w:t>左右。需要继续发挥爱国卫生运动的组织优势，全社会动员，把健康融入城乡规划、建设、治理的全过程，建立国家环境与健康风险评估制度，推进健康城市和健康村镇建设，打造健康环境。</w:t>
      </w:r>
    </w:p>
    <w:p>
      <w:pPr>
        <w:spacing w:beforeLines="0" w:afterLines="0" w:line="600" w:lineRule="atLeast"/>
        <w:ind w:firstLine="640"/>
        <w:rPr>
          <w:rFonts w:hint="default" w:ascii="Times New Roman" w:hAnsi="Times New Roman" w:eastAsia="Times New Roman"/>
          <w:color w:val="auto"/>
          <w:sz w:val="36"/>
          <w:lang w:val="en-US"/>
        </w:rPr>
      </w:pPr>
      <w:r>
        <w:rPr>
          <w:rFonts w:hint="eastAsia" w:ascii="宋体" w:hAnsi="宋体"/>
          <w:color w:val="auto"/>
          <w:sz w:val="32"/>
          <w:lang w:val="zh-CN"/>
        </w:rPr>
        <w:t>行动目标</w:t>
      </w:r>
      <w:r>
        <w:rPr>
          <w:rFonts w:hint="eastAsia" w:ascii="宋体" w:hAnsi="宋体"/>
          <w:color w:val="auto"/>
          <w:sz w:val="36"/>
          <w:lang w:val="zh-CN"/>
        </w:rPr>
        <w:t>：</w:t>
      </w:r>
    </w:p>
    <w:p>
      <w:pPr>
        <w:spacing w:beforeLines="0" w:afterLines="0" w:line="600" w:lineRule="atLeast"/>
        <w:ind w:firstLine="640"/>
        <w:rPr>
          <w:rFonts w:hint="default" w:ascii="Times New Roman" w:hAnsi="Times New Roman" w:eastAsia="Times New Roman"/>
          <w:color w:val="auto"/>
          <w:sz w:val="32"/>
          <w:lang w:val="en-US"/>
        </w:rPr>
      </w:pPr>
      <w:r>
        <w:rPr>
          <w:rFonts w:hint="eastAsia" w:ascii="宋体" w:hAnsi="宋体"/>
          <w:color w:val="auto"/>
          <w:sz w:val="32"/>
          <w:lang w:val="zh-CN"/>
        </w:rPr>
        <w:t>到</w:t>
      </w:r>
      <w:r>
        <w:rPr>
          <w:rFonts w:hint="default" w:ascii="Times New Roman" w:hAnsi="Times New Roman" w:eastAsia="Times New Roman"/>
          <w:color w:val="auto"/>
          <w:sz w:val="32"/>
          <w:lang w:val="en-US"/>
        </w:rPr>
        <w:t>2022</w:t>
      </w:r>
      <w:r>
        <w:rPr>
          <w:rFonts w:hint="eastAsia" w:ascii="宋体" w:hAnsi="宋体"/>
          <w:color w:val="auto"/>
          <w:sz w:val="32"/>
          <w:lang w:val="zh-CN"/>
        </w:rPr>
        <w:t>年和</w:t>
      </w:r>
      <w:r>
        <w:rPr>
          <w:rFonts w:hint="default" w:ascii="Times New Roman" w:hAnsi="Times New Roman" w:eastAsia="Times New Roman"/>
          <w:color w:val="auto"/>
          <w:sz w:val="32"/>
          <w:lang w:val="en-US"/>
        </w:rPr>
        <w:t>2030</w:t>
      </w:r>
      <w:r>
        <w:rPr>
          <w:rFonts w:hint="eastAsia" w:ascii="宋体" w:hAnsi="宋体"/>
          <w:color w:val="auto"/>
          <w:sz w:val="32"/>
          <w:lang w:val="zh-CN"/>
        </w:rPr>
        <w:t>年，居民饮用水水质达标情况明显改善并持续改善；居民环境与健康素养水平分别达到</w:t>
      </w:r>
      <w:r>
        <w:rPr>
          <w:rFonts w:hint="default" w:ascii="Times New Roman" w:hAnsi="Times New Roman" w:eastAsia="Times New Roman"/>
          <w:color w:val="auto"/>
          <w:sz w:val="32"/>
          <w:lang w:val="en-US"/>
        </w:rPr>
        <w:t>15%</w:t>
      </w:r>
      <w:r>
        <w:rPr>
          <w:rFonts w:hint="eastAsia" w:ascii="宋体" w:hAnsi="宋体"/>
          <w:color w:val="auto"/>
          <w:sz w:val="32"/>
          <w:lang w:val="zh-CN"/>
        </w:rPr>
        <w:t>及以上和</w:t>
      </w:r>
      <w:r>
        <w:rPr>
          <w:rFonts w:hint="default" w:ascii="Times New Roman" w:hAnsi="Times New Roman" w:eastAsia="Times New Roman"/>
          <w:color w:val="auto"/>
          <w:sz w:val="32"/>
          <w:lang w:val="en-US"/>
        </w:rPr>
        <w:t>25%</w:t>
      </w:r>
      <w:r>
        <w:rPr>
          <w:rFonts w:hint="eastAsia" w:ascii="宋体" w:hAnsi="宋体"/>
          <w:color w:val="auto"/>
          <w:sz w:val="32"/>
          <w:lang w:val="zh-CN"/>
        </w:rPr>
        <w:t>及以上；大力推进城乡生活垃圾分类处理，重点城市基本建成生活垃圾分类处理系统。</w:t>
      </w:r>
    </w:p>
    <w:p>
      <w:pPr>
        <w:spacing w:beforeLines="0" w:afterLines="0" w:line="600" w:lineRule="atLeast"/>
        <w:ind w:firstLine="640"/>
        <w:rPr>
          <w:rFonts w:hint="default" w:ascii="Times New Roman" w:hAnsi="Times New Roman" w:eastAsia="Times New Roman"/>
          <w:color w:val="auto"/>
          <w:sz w:val="32"/>
          <w:lang w:val="en-US"/>
        </w:rPr>
      </w:pPr>
      <w:r>
        <w:rPr>
          <w:rFonts w:hint="eastAsia" w:ascii="宋体" w:hAnsi="宋体"/>
          <w:color w:val="auto"/>
          <w:sz w:val="32"/>
          <w:lang w:val="zh-CN"/>
        </w:rPr>
        <w:t>提倡积极实施垃圾分类并及时清理，将固体废弃物主动投放到相应的回收地点及设施中；防治室内空气污染，提倡简约绿色装饰，做好室内油烟排风，提高家居环境水平；学校、医院、车站、大型商场、电影院等人员密集的地方应定期开展火灾、地震等自然灾害及突发事件的应急演练；提高自身健康防护意识和能力，学会识别常见的危险标识、化学品安全标签及环境保护图形标志。</w:t>
      </w:r>
    </w:p>
    <w:p>
      <w:pPr>
        <w:spacing w:beforeLines="0" w:afterLines="0" w:line="600" w:lineRule="atLeast"/>
        <w:ind w:firstLine="643"/>
        <w:rPr>
          <w:rFonts w:hint="default" w:ascii="Times New Roman" w:hAnsi="Times New Roman" w:eastAsia="Times New Roman"/>
          <w:b/>
          <w:color w:val="auto"/>
          <w:sz w:val="32"/>
          <w:lang w:val="en-US"/>
        </w:rPr>
      </w:pPr>
      <w:r>
        <w:rPr>
          <w:rFonts w:hint="default" w:ascii="宋体" w:hAnsi="宋体"/>
          <w:b/>
          <w:color w:val="auto"/>
          <w:sz w:val="32"/>
          <w:lang w:val="zh-CN"/>
        </w:rPr>
        <w:t>——</w:t>
      </w:r>
      <w:r>
        <w:rPr>
          <w:rFonts w:hint="eastAsia" w:ascii="宋体" w:hAnsi="宋体"/>
          <w:b/>
          <w:color w:val="auto"/>
          <w:sz w:val="32"/>
          <w:lang w:val="zh-CN"/>
        </w:rPr>
        <w:t>个人和家庭：</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1.</w:t>
      </w:r>
      <w:r>
        <w:rPr>
          <w:rFonts w:hint="eastAsia" w:ascii="宋体" w:hAnsi="宋体"/>
          <w:color w:val="auto"/>
          <w:sz w:val="32"/>
          <w:lang w:val="zh-CN"/>
        </w:rPr>
        <w:t>提高环境与健康素养。主动学习掌握环境与健康素养基本理念、基本知识和基本技能，遵守生态环境行为规范，提升生态环境保护意识、健康防护意识和能力。</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2.</w:t>
      </w:r>
      <w:r>
        <w:rPr>
          <w:rFonts w:hint="eastAsia" w:ascii="宋体" w:hAnsi="宋体"/>
          <w:color w:val="auto"/>
          <w:sz w:val="32"/>
          <w:lang w:val="zh-CN"/>
        </w:rPr>
        <w:t>自觉维护环境卫生，抵制环境污染行为。家庭成员养成良好的环境卫生习惯，及时、主动开展家庭环境卫生清理，做到家庭卫生整洁，光线充足、通风良好、厕所卫生。维护社区、单位等环境卫生，改善生活生产环境。积极实施垃圾分类并及时清理，将固体废弃物（废电池、废日光灯管、废水银温度计、过期药品等）主动投放到相应的回收地点及设施中，减少污染物的扩散及对环境的影响。减少烟尘排放，尽量避免垃圾秸秆焚烧，少放或不放烟花爆竹，重污染天气时禁止露天烧烤；发现污染生态环境的行为，及时劝阻或举报。</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3.</w:t>
      </w:r>
      <w:r>
        <w:rPr>
          <w:rFonts w:hint="eastAsia" w:ascii="宋体" w:hAnsi="宋体"/>
          <w:color w:val="auto"/>
          <w:sz w:val="32"/>
          <w:lang w:val="zh-CN"/>
        </w:rPr>
        <w:t>倡导简约适度、绿色低碳、益于健康的生活方式。优先选择绿色产品，尽量购买耐用品，少购买使用塑料袋、一次性发泡塑料饭盒、塑料管等易造成污染的用品，少购买使用过度包装产品，不跟风购买更新换代快的电子产品，外出自带购物袋、水杯等。适度使用空调，冬季设置温度不高于</w:t>
      </w:r>
      <w:r>
        <w:rPr>
          <w:rFonts w:hint="default" w:ascii="Times New Roman" w:hAnsi="Times New Roman" w:eastAsia="Times New Roman"/>
          <w:color w:val="auto"/>
          <w:sz w:val="32"/>
          <w:lang w:val="en-US"/>
        </w:rPr>
        <w:t>20</w:t>
      </w:r>
      <w:r>
        <w:rPr>
          <w:rFonts w:hint="eastAsia" w:ascii="宋体" w:hAnsi="宋体"/>
          <w:color w:val="auto"/>
          <w:sz w:val="32"/>
          <w:lang w:val="zh-CN"/>
        </w:rPr>
        <w:t>摄氏度，夏季设置温度不低于</w:t>
      </w:r>
      <w:r>
        <w:rPr>
          <w:rFonts w:hint="default" w:ascii="Times New Roman" w:hAnsi="Times New Roman" w:eastAsia="Times New Roman"/>
          <w:color w:val="auto"/>
          <w:sz w:val="32"/>
          <w:lang w:val="en-US"/>
        </w:rPr>
        <w:t>26</w:t>
      </w:r>
      <w:r>
        <w:rPr>
          <w:rFonts w:hint="eastAsia" w:ascii="宋体" w:hAnsi="宋体"/>
          <w:color w:val="auto"/>
          <w:sz w:val="32"/>
          <w:lang w:val="zh-CN"/>
        </w:rPr>
        <w:t>摄氏度。及时关闭电器电源，减少待机耗电。坚持低碳出行，优先步行、骑行或公共交通出行，多使用共享交通工具。</w:t>
      </w:r>
      <w:r>
        <w:rPr>
          <w:rFonts w:hint="default" w:ascii="Times New Roman" w:hAnsi="Times New Roman" w:eastAsia="Times New Roman"/>
          <w:color w:val="auto"/>
          <w:sz w:val="32"/>
          <w:lang w:val="en-US"/>
        </w:rPr>
        <w:t xml:space="preserve">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4.</w:t>
      </w:r>
      <w:r>
        <w:rPr>
          <w:rFonts w:hint="eastAsia" w:ascii="宋体" w:hAnsi="宋体"/>
          <w:color w:val="auto"/>
          <w:sz w:val="32"/>
          <w:lang w:val="zh-CN"/>
        </w:rPr>
        <w:t>关注室（车）内空气污染。尽量购买带有绿色标志的装饰装修材料、家具及节能标识的家电产品。新装修的房间定期通风换气，降低装饰装修材料造成的室内空气污染。烹饪、取暖等提倡使用清洁能源（如气体燃料和电等）。烹饪过程中提倡使用排气扇、抽油烟机等设备。购买和使用符合有害物质限量标准的家用化学品。定期对家中饲养的宠物及宠物用品进行清洁，及时倾倒室内垃圾，避免微生物的滋生。根据天气变化和空气质量适时通风换气，重污染天气时应关闭门窗，减少室外空气污染物进入室内，有条件的建议开启空气净化装置或新风系统。鼓励根据实际需要，选购适宜排量的汽车，不进行非必要的车内装饰，注意通风并及时清洗车用空调系统。</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5.</w:t>
      </w:r>
      <w:r>
        <w:rPr>
          <w:rFonts w:hint="eastAsia" w:ascii="宋体" w:hAnsi="宋体"/>
          <w:color w:val="auto"/>
          <w:sz w:val="32"/>
          <w:lang w:val="zh-CN"/>
        </w:rPr>
        <w:t>做好户外健康防护。重污染天气时，建议尽量减少户外停留时间，易感人群停止户外活动。如外出，需做好健康防护。</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6.</w:t>
      </w:r>
      <w:r>
        <w:rPr>
          <w:rFonts w:hint="eastAsia" w:ascii="宋体" w:hAnsi="宋体"/>
          <w:color w:val="auto"/>
          <w:sz w:val="32"/>
          <w:lang w:val="zh-CN"/>
        </w:rPr>
        <w:t>重视道路交通安全。严格遵守交通法规，增强交通出行规则意识、安全意识和文明意识，不疲劳驾驶、超速行驶、酒后驾驶，具备一定的应急处理能力。正确使用安全带，根据儿童年龄、身高和体重合理使用安全座椅，减少交通事故的发生。</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7.</w:t>
      </w:r>
      <w:r>
        <w:rPr>
          <w:rFonts w:hint="eastAsia" w:ascii="宋体" w:hAnsi="宋体"/>
          <w:color w:val="auto"/>
          <w:sz w:val="32"/>
          <w:lang w:val="zh-CN"/>
        </w:rPr>
        <w:t>预防溺水。建议选择管理规范的游泳场所，不提倡在天然水域游泳，下雨时不宜在室外游泳。建议下水前认真做准备活动，以免下水后发生肌肉痉挛等问题。水中活动时，要避免打闹、跳水等危险行为。避免儿童接近危险水域，儿童游泳时，要有成人带领或有组织地进行。加强看护，不能将儿童单独留在卫生间、浴室、开放的水源边。</w:t>
      </w:r>
    </w:p>
    <w:p>
      <w:pPr>
        <w:spacing w:beforeLines="0" w:afterLines="0" w:line="600" w:lineRule="atLeast"/>
        <w:ind w:firstLine="643"/>
        <w:rPr>
          <w:rFonts w:hint="default" w:ascii="Times New Roman" w:hAnsi="Times New Roman" w:eastAsia="Times New Roman"/>
          <w:b/>
          <w:color w:val="auto"/>
          <w:sz w:val="32"/>
          <w:lang w:val="en-US"/>
        </w:rPr>
      </w:pPr>
      <w:r>
        <w:rPr>
          <w:rFonts w:hint="default" w:ascii="宋体" w:hAnsi="宋体"/>
          <w:b/>
          <w:color w:val="auto"/>
          <w:sz w:val="32"/>
          <w:lang w:val="zh-CN"/>
        </w:rPr>
        <w:t>——</w:t>
      </w:r>
      <w:r>
        <w:rPr>
          <w:rFonts w:hint="eastAsia" w:ascii="宋体" w:hAnsi="宋体"/>
          <w:b/>
          <w:color w:val="auto"/>
          <w:sz w:val="32"/>
          <w:lang w:val="zh-CN"/>
        </w:rPr>
        <w:t>社会：</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1.</w:t>
      </w:r>
      <w:r>
        <w:rPr>
          <w:rFonts w:hint="eastAsia" w:ascii="宋体" w:hAnsi="宋体"/>
          <w:color w:val="auto"/>
          <w:sz w:val="32"/>
          <w:lang w:val="zh-CN"/>
        </w:rPr>
        <w:t>制定社区健康公约和健康守则等行为规范，大力开展讲卫生、树新风、除陋习活动。加强社区基础设施和生态环境建设，营造设施完备、整洁有序、美丽宜居、安全和谐的社区健康环境。建立固定的健康宣传栏、橱窗等健康教育窗口，设立社区健康自助检测点，配备血压计、血糖仪、腰围尺、体重仪、体重指数（</w:t>
      </w:r>
      <w:r>
        <w:rPr>
          <w:rFonts w:hint="default" w:ascii="Times New Roman" w:hAnsi="Times New Roman" w:eastAsia="Times New Roman"/>
          <w:color w:val="auto"/>
          <w:sz w:val="32"/>
          <w:lang w:val="en-US"/>
        </w:rPr>
        <w:t>BMI</w:t>
      </w:r>
      <w:r>
        <w:rPr>
          <w:rFonts w:hint="eastAsia" w:ascii="宋体" w:hAnsi="宋体"/>
          <w:color w:val="auto"/>
          <w:sz w:val="32"/>
          <w:lang w:val="zh-CN"/>
        </w:rPr>
        <w:t>）尺、健康膳食图等，鼓励引导志愿者参与，指导社区居民形成健康生活方式。用人单位充分考虑劳动者健康需要，为劳动者提供健康支持性环境。完善健康家庭标准，将文明健康生活方式以及体重、油、盐、糖、血压、近视等控制情况纳入</w:t>
      </w:r>
      <w:r>
        <w:rPr>
          <w:rFonts w:hint="default" w:ascii="宋体" w:hAnsi="宋体"/>
          <w:color w:val="auto"/>
          <w:sz w:val="32"/>
          <w:lang w:val="zh-CN"/>
        </w:rPr>
        <w:t>“</w:t>
      </w:r>
      <w:r>
        <w:rPr>
          <w:rFonts w:hint="eastAsia" w:ascii="宋体" w:hAnsi="宋体"/>
          <w:color w:val="auto"/>
          <w:sz w:val="32"/>
          <w:lang w:val="zh-CN"/>
        </w:rPr>
        <w:t>五好文明家庭</w:t>
      </w:r>
      <w:r>
        <w:rPr>
          <w:rFonts w:hint="default" w:ascii="宋体" w:hAnsi="宋体"/>
          <w:color w:val="auto"/>
          <w:sz w:val="32"/>
          <w:lang w:val="zh-CN"/>
        </w:rPr>
        <w:t>”</w:t>
      </w:r>
      <w:r>
        <w:rPr>
          <w:rFonts w:hint="eastAsia" w:ascii="宋体" w:hAnsi="宋体"/>
          <w:color w:val="auto"/>
          <w:sz w:val="32"/>
          <w:lang w:val="zh-CN"/>
        </w:rPr>
        <w:t>评选标准，引导家庭成员主动学习掌握必要的健康知识和技能，居家整洁，家庭和睦，提高自我健康管理能力。</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2.</w:t>
      </w:r>
      <w:r>
        <w:rPr>
          <w:rFonts w:hint="eastAsia" w:ascii="宋体" w:hAnsi="宋体"/>
          <w:color w:val="auto"/>
          <w:sz w:val="32"/>
          <w:lang w:val="zh-CN"/>
        </w:rPr>
        <w:t>企业主动提升环保意识，合理确定环境保护指标目标，建立环保监测制度，并且管理维护好污染治理装置，污染物排放必须符合环保标准。涉及危险化学品的生产、运输、储存、销售、使用、废弃物的处置等，企业要落实安全生产主体责任，强化危险化学品全过程管理。鼓励发展安全、节能、环保的汽车产品。</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3.</w:t>
      </w:r>
      <w:r>
        <w:rPr>
          <w:rFonts w:hint="eastAsia" w:ascii="宋体" w:hAnsi="宋体"/>
          <w:color w:val="auto"/>
          <w:sz w:val="32"/>
          <w:lang w:val="zh-CN"/>
        </w:rPr>
        <w:t>鼓励企业建立消费品有害物质限量披露及质量安全事故监测和报告制度，提高装饰装修材料、日用化学品、儿童玩具和用品等消费品的安全标准，减少消费品造成的伤害。</w:t>
      </w:r>
      <w:r>
        <w:rPr>
          <w:rFonts w:hint="default" w:ascii="Times New Roman" w:hAnsi="Times New Roman" w:eastAsia="Times New Roman"/>
          <w:color w:val="auto"/>
          <w:sz w:val="32"/>
          <w:lang w:val="en-US"/>
        </w:rPr>
        <w:t xml:space="preserve"> </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4.</w:t>
      </w:r>
      <w:r>
        <w:rPr>
          <w:rFonts w:hint="eastAsia" w:ascii="宋体" w:hAnsi="宋体"/>
          <w:color w:val="auto"/>
          <w:sz w:val="32"/>
          <w:lang w:val="zh-CN"/>
        </w:rPr>
        <w:t>公共场所应定期清洗集中空调和新风系统。健身娱乐场所建议安装新风系统或空气净化装置，重污染天气时，应根据人员的情况及时开启净化装置补充新风。公共游泳场所定期消毒、换水，以保证人群在清洁的环境中活动。根据气候、环境在公共场所张贴预防跌倒、触电、溺水等警示标识，减少意外伤害和跌倒致残，预防意外事故所致一氧化碳、氨气、氯气、消毒杀虫剂等中毒。</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5.</w:t>
      </w:r>
      <w:r>
        <w:rPr>
          <w:rFonts w:hint="eastAsia" w:ascii="宋体" w:hAnsi="宋体"/>
          <w:color w:val="auto"/>
          <w:sz w:val="32"/>
          <w:lang w:val="zh-CN"/>
        </w:rPr>
        <w:t>针对不同人群，编制环境与健康手册，宣传和普及环境与健康基本理念、基本知识和基本技能，分类制定发布环境污染防护指南、公共场所和室内健康环境指南。</w:t>
      </w:r>
      <w:r>
        <w:rPr>
          <w:rFonts w:hint="default" w:ascii="Times New Roman" w:hAnsi="Times New Roman" w:eastAsia="Times New Roman"/>
          <w:color w:val="auto"/>
          <w:sz w:val="32"/>
          <w:lang w:val="en-US"/>
        </w:rPr>
        <w:t xml:space="preserve"> </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6.</w:t>
      </w:r>
      <w:r>
        <w:rPr>
          <w:rFonts w:hint="eastAsia" w:ascii="宋体" w:hAnsi="宋体"/>
          <w:color w:val="auto"/>
          <w:sz w:val="32"/>
          <w:lang w:val="zh-CN"/>
        </w:rPr>
        <w:t>经常性对公众进行防灾减灾、突发事件应对知识和技能的传播和培训，提高自救和互救能力。学校、医院等人员密集的地方应定期开展火灾、地震等自然灾害及突发事件的应急演练。</w:t>
      </w:r>
    </w:p>
    <w:p>
      <w:pPr>
        <w:spacing w:beforeLines="0" w:afterLines="0" w:line="600" w:lineRule="atLeast"/>
        <w:ind w:firstLine="643"/>
        <w:rPr>
          <w:rFonts w:hint="default" w:ascii="Times New Roman" w:hAnsi="Times New Roman" w:eastAsia="Times New Roman"/>
          <w:b/>
          <w:color w:val="auto"/>
          <w:sz w:val="32"/>
          <w:lang w:val="en-US"/>
        </w:rPr>
      </w:pPr>
      <w:r>
        <w:rPr>
          <w:rFonts w:hint="default" w:ascii="宋体" w:hAnsi="宋体"/>
          <w:b/>
          <w:color w:val="auto"/>
          <w:sz w:val="32"/>
          <w:lang w:val="zh-CN"/>
        </w:rPr>
        <w:t>——</w:t>
      </w:r>
      <w:r>
        <w:rPr>
          <w:rFonts w:hint="eastAsia" w:ascii="宋体" w:hAnsi="宋体"/>
          <w:b/>
          <w:color w:val="auto"/>
          <w:sz w:val="32"/>
          <w:lang w:val="zh-CN"/>
        </w:rPr>
        <w:t>政府：</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1.</w:t>
      </w:r>
      <w:r>
        <w:rPr>
          <w:rFonts w:hint="eastAsia" w:ascii="宋体" w:hAnsi="宋体"/>
          <w:color w:val="auto"/>
          <w:sz w:val="32"/>
          <w:lang w:val="zh-CN"/>
        </w:rPr>
        <w:t>制定健康社区、健康单位（企业）、健康学校等健康细胞工程建设规范和评价指标。建立完善健康城乡监测与评价体系，定期组织开展第三方评估，打造卫生城镇升级版。（卫生健康委牵头，教育部、民政部按职责分工负责）</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2.</w:t>
      </w:r>
      <w:r>
        <w:rPr>
          <w:rFonts w:hint="eastAsia" w:ascii="宋体" w:hAnsi="宋体"/>
          <w:color w:val="auto"/>
          <w:sz w:val="32"/>
          <w:lang w:val="zh-CN"/>
        </w:rPr>
        <w:t>逐步建立环境与健康的调查、监测和风险评估制度。加强与群众健康密切相关的饮用水、空气、土壤等环境健康影响监测与评价，开展环境污染与疾病关系、健康风险预警以及防护干预研究，加强伤害监测网络建设，采取有效措施预防控制环境污染相关疾病。宣传</w:t>
      </w:r>
      <w:r>
        <w:rPr>
          <w:rFonts w:hint="default" w:ascii="宋体" w:hAnsi="宋体"/>
          <w:color w:val="auto"/>
          <w:sz w:val="32"/>
          <w:lang w:val="zh-CN"/>
        </w:rPr>
        <w:t>“</w:t>
      </w:r>
      <w:r>
        <w:rPr>
          <w:rFonts w:hint="eastAsia" w:ascii="宋体" w:hAnsi="宋体"/>
          <w:color w:val="auto"/>
          <w:sz w:val="32"/>
          <w:lang w:val="zh-CN"/>
        </w:rPr>
        <w:t>人与自然和谐共生</w:t>
      </w:r>
      <w:r>
        <w:rPr>
          <w:rFonts w:hint="default" w:ascii="宋体" w:hAnsi="宋体"/>
          <w:color w:val="auto"/>
          <w:sz w:val="32"/>
          <w:lang w:val="zh-CN"/>
        </w:rPr>
        <w:t>”</w:t>
      </w:r>
      <w:r>
        <w:rPr>
          <w:rFonts w:hint="eastAsia" w:ascii="宋体" w:hAnsi="宋体"/>
          <w:color w:val="auto"/>
          <w:sz w:val="32"/>
          <w:lang w:val="zh-CN"/>
        </w:rPr>
        <w:t>、</w:t>
      </w:r>
      <w:r>
        <w:rPr>
          <w:rFonts w:hint="default" w:ascii="Times New Roman" w:hAnsi="Times New Roman" w:eastAsia="Times New Roman"/>
          <w:color w:val="auto"/>
          <w:sz w:val="32"/>
          <w:lang w:val="en-US"/>
        </w:rPr>
        <w:t xml:space="preserve"> </w:t>
      </w:r>
      <w:r>
        <w:rPr>
          <w:rFonts w:hint="default" w:ascii="宋体" w:hAnsi="宋体"/>
          <w:color w:val="auto"/>
          <w:sz w:val="32"/>
          <w:lang w:val="zh-CN"/>
        </w:rPr>
        <w:t>“</w:t>
      </w:r>
      <w:r>
        <w:rPr>
          <w:rFonts w:hint="eastAsia" w:ascii="宋体" w:hAnsi="宋体"/>
          <w:color w:val="auto"/>
          <w:sz w:val="32"/>
          <w:lang w:val="zh-CN"/>
        </w:rPr>
        <w:t>人人享有健康环境</w:t>
      </w:r>
      <w:r>
        <w:rPr>
          <w:rFonts w:hint="default" w:ascii="宋体" w:hAnsi="宋体"/>
          <w:color w:val="auto"/>
          <w:sz w:val="32"/>
          <w:lang w:val="zh-CN"/>
        </w:rPr>
        <w:t>”</w:t>
      </w:r>
      <w:r>
        <w:rPr>
          <w:rFonts w:hint="eastAsia" w:ascii="宋体" w:hAnsi="宋体"/>
          <w:color w:val="auto"/>
          <w:sz w:val="32"/>
          <w:lang w:val="zh-CN"/>
        </w:rPr>
        <w:t>理念，普及环境健康知识，营造全社会关心、参与环境健康的良好氛围。（卫生健康委牵头，自然资源部、生态环境部、住房城乡建设部、水利部、农业农村部、市场监管总局、粮食和储备局、林草局等按职责分工负责）</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3.</w:t>
      </w:r>
      <w:r>
        <w:rPr>
          <w:rFonts w:hint="eastAsia" w:ascii="宋体" w:hAnsi="宋体"/>
          <w:color w:val="auto"/>
          <w:sz w:val="32"/>
          <w:lang w:val="zh-CN"/>
        </w:rPr>
        <w:t>深入开展大气、水、土壤污染防治。修订《中国公民环境与健康素养（试行）》，开展公民环境与健康素养提升和科普宣传工作。（生态环境部牵头，发展改革委、科技部、工业和信息化部、自然资源部、住房城乡建设部、交通运输部、水利部、农业农村部、卫生健康委等按职责分工负责）</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4.</w:t>
      </w:r>
      <w:r>
        <w:rPr>
          <w:rFonts w:hint="eastAsia" w:ascii="宋体" w:hAnsi="宋体"/>
          <w:color w:val="auto"/>
          <w:sz w:val="32"/>
          <w:lang w:val="zh-CN"/>
        </w:rPr>
        <w:t>加大饮用水工程设施投入、管理和维护，保障饮用水安全。加强城市公共安全基础设施建设，加大固体废弃物回收设施的投入，加强废弃物分类处置管理。加强城乡公共消防设施建设和维护管理，合理规划和建设应急避难场所，加强应急物资储备体系建设。提高企业、医院、学校、大型商场、文体娱乐场所等人员密集区域防灾抗灾及应对突发事件的能力。完善医疗机构无障碍设施。（发展改革委、生态环境部、住房城乡建设部、水利部、文化和旅游部、卫生健康委、应急部、体育总局等按职责分工负责）</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5.</w:t>
      </w:r>
      <w:r>
        <w:rPr>
          <w:rFonts w:hint="eastAsia" w:ascii="宋体" w:hAnsi="宋体"/>
          <w:color w:val="auto"/>
          <w:sz w:val="32"/>
          <w:lang w:val="zh-CN"/>
        </w:rPr>
        <w:t>组织实施交通安全生命防护工程，提高交通安全技术标准，加强交通安全隐患治理，减少交通伤害事件的发生。（交通运输部牵头，工业和信息化部、公安部、国家铁路局、民航局等按职责分工负责）</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6.</w:t>
      </w:r>
      <w:r>
        <w:rPr>
          <w:rFonts w:hint="eastAsia" w:ascii="宋体" w:hAnsi="宋体"/>
          <w:color w:val="auto"/>
          <w:sz w:val="32"/>
          <w:lang w:val="zh-CN"/>
        </w:rPr>
        <w:t>加强装饰装修材料、日用化学品、儿童玩具和用品等消费品的安全性评价，完善产品伤害监测体系，提高相关标准，加强消费品绿色安全认证，建立消费品质量安全事故的强制报告制度，加强召回管理力度，强化重点领域质量安全监管。（市场监管总局牵头，工业和信息化部、住房城乡建设部等按职责分工负责）</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7.</w:t>
      </w:r>
      <w:r>
        <w:rPr>
          <w:rFonts w:hint="eastAsia" w:ascii="宋体" w:hAnsi="宋体"/>
          <w:color w:val="auto"/>
          <w:sz w:val="32"/>
          <w:lang w:val="zh-CN"/>
        </w:rPr>
        <w:t>以复合污染对健康影响和污染健康防护为重点开展攻关研究，着力研发一批关键核心技术，指导公众做好健康防护。（卫生健康委牵头，科技部、生态环境部、气象局等按职责分工负责）</w:t>
      </w:r>
    </w:p>
    <w:p>
      <w:pPr>
        <w:spacing w:beforeLines="0" w:afterLines="0" w:line="600" w:lineRule="atLeast"/>
        <w:ind w:firstLine="643"/>
        <w:rPr>
          <w:rFonts w:hint="default" w:ascii="Times New Roman" w:hAnsi="Times New Roman" w:eastAsia="Times New Roman"/>
          <w:b/>
          <w:color w:val="auto"/>
          <w:sz w:val="32"/>
          <w:lang w:val="en-US"/>
        </w:rPr>
      </w:pPr>
      <w:r>
        <w:rPr>
          <w:rFonts w:hint="eastAsia" w:ascii="宋体" w:hAnsi="宋体"/>
          <w:b/>
          <w:color w:val="auto"/>
          <w:sz w:val="32"/>
          <w:lang w:val="zh-CN"/>
        </w:rPr>
        <w:t>（七）妇幼健康促进行动。</w:t>
      </w:r>
    </w:p>
    <w:p>
      <w:pPr>
        <w:spacing w:beforeLines="0" w:afterLines="0" w:line="600" w:lineRule="atLeast"/>
        <w:ind w:firstLine="640"/>
        <w:rPr>
          <w:rFonts w:hint="default" w:ascii="Times New Roman" w:hAnsi="Times New Roman" w:eastAsia="Times New Roman"/>
          <w:color w:val="auto"/>
          <w:sz w:val="32"/>
          <w:lang w:val="en-US"/>
        </w:rPr>
      </w:pPr>
      <w:r>
        <w:rPr>
          <w:rFonts w:hint="eastAsia" w:ascii="宋体" w:hAnsi="宋体"/>
          <w:color w:val="auto"/>
          <w:sz w:val="32"/>
          <w:lang w:val="zh-CN"/>
        </w:rPr>
        <w:t>妇幼健康是全民健康的基础。新时期妇幼健康面临新的挑战。出生缺陷不仅严重影响儿童的生命健康和生活质量，而且影响人口健康素质。随着生育政策调整完善，生育需求逐步释放，高危孕产妇比例有所增加，保障母婴安全压力增大。生育全程服务覆盖不广泛，宫颈癌和乳腺癌高发态势仍未扭转，儿童早期发展亟需加强，妇女儿童健康状况在城乡之间、区域之间还存在差异，妇幼健康服务供给能力有待提高。实施妇幼健康促进行动，是保护妇女儿童健康权益，促进妇女儿童全面发展、维护生殖健康的重要举措，有助于从源头和基础上提高国民健康水平。</w:t>
      </w:r>
    </w:p>
    <w:p>
      <w:pPr>
        <w:spacing w:beforeLines="0" w:afterLines="0" w:line="600" w:lineRule="atLeast"/>
        <w:ind w:firstLine="640"/>
        <w:rPr>
          <w:rFonts w:hint="default" w:ascii="Times New Roman" w:hAnsi="Times New Roman" w:eastAsia="Times New Roman"/>
          <w:color w:val="auto"/>
          <w:sz w:val="32"/>
          <w:lang w:val="en-US"/>
        </w:rPr>
      </w:pPr>
      <w:r>
        <w:rPr>
          <w:rFonts w:hint="eastAsia" w:ascii="宋体" w:hAnsi="宋体"/>
          <w:color w:val="auto"/>
          <w:sz w:val="32"/>
          <w:lang w:val="zh-CN"/>
        </w:rPr>
        <w:t>行动目标：</w:t>
      </w:r>
    </w:p>
    <w:p>
      <w:pPr>
        <w:spacing w:beforeLines="0" w:afterLines="0" w:line="600" w:lineRule="atLeast"/>
        <w:ind w:firstLine="640"/>
        <w:rPr>
          <w:rFonts w:hint="default" w:ascii="Times New Roman" w:hAnsi="Times New Roman" w:eastAsia="Times New Roman"/>
          <w:color w:val="auto"/>
          <w:sz w:val="32"/>
          <w:lang w:val="en-US"/>
        </w:rPr>
      </w:pPr>
      <w:r>
        <w:rPr>
          <w:rFonts w:hint="eastAsia" w:ascii="宋体" w:hAnsi="宋体"/>
          <w:color w:val="auto"/>
          <w:sz w:val="32"/>
          <w:lang w:val="zh-CN"/>
        </w:rPr>
        <w:t>到</w:t>
      </w:r>
      <w:r>
        <w:rPr>
          <w:rFonts w:hint="default" w:ascii="Times New Roman" w:hAnsi="Times New Roman" w:eastAsia="Times New Roman"/>
          <w:color w:val="auto"/>
          <w:sz w:val="32"/>
          <w:lang w:val="en-US"/>
        </w:rPr>
        <w:t>2022</w:t>
      </w:r>
      <w:r>
        <w:rPr>
          <w:rFonts w:hint="eastAsia" w:ascii="宋体" w:hAnsi="宋体"/>
          <w:color w:val="auto"/>
          <w:sz w:val="32"/>
          <w:lang w:val="zh-CN"/>
        </w:rPr>
        <w:t>年和</w:t>
      </w:r>
      <w:r>
        <w:rPr>
          <w:rFonts w:hint="default" w:ascii="Times New Roman" w:hAnsi="Times New Roman" w:eastAsia="Times New Roman"/>
          <w:color w:val="auto"/>
          <w:sz w:val="32"/>
          <w:lang w:val="en-US"/>
        </w:rPr>
        <w:t>2030</w:t>
      </w:r>
      <w:r>
        <w:rPr>
          <w:rFonts w:hint="eastAsia" w:ascii="宋体" w:hAnsi="宋体"/>
          <w:color w:val="auto"/>
          <w:sz w:val="32"/>
          <w:lang w:val="zh-CN"/>
        </w:rPr>
        <w:t>年，婴儿死亡率分别控制在</w:t>
      </w:r>
      <w:r>
        <w:rPr>
          <w:rFonts w:hint="default" w:ascii="Times New Roman" w:hAnsi="Times New Roman" w:eastAsia="Times New Roman"/>
          <w:color w:val="auto"/>
          <w:sz w:val="32"/>
          <w:lang w:val="en-US"/>
        </w:rPr>
        <w:t>7.5</w:t>
      </w:r>
      <w:r>
        <w:rPr>
          <w:rFonts w:hint="eastAsia" w:ascii="宋体" w:hAnsi="宋体"/>
          <w:color w:val="auto"/>
          <w:sz w:val="32"/>
          <w:lang w:val="zh-CN"/>
        </w:rPr>
        <w:t>‰及以下和</w:t>
      </w:r>
      <w:r>
        <w:rPr>
          <w:rFonts w:hint="default" w:ascii="Times New Roman" w:hAnsi="Times New Roman" w:eastAsia="Times New Roman"/>
          <w:color w:val="auto"/>
          <w:sz w:val="32"/>
          <w:lang w:val="en-US"/>
        </w:rPr>
        <w:t>5</w:t>
      </w:r>
      <w:r>
        <w:rPr>
          <w:rFonts w:hint="eastAsia" w:ascii="宋体" w:hAnsi="宋体"/>
          <w:color w:val="auto"/>
          <w:sz w:val="32"/>
          <w:lang w:val="zh-CN"/>
        </w:rPr>
        <w:t>‰及以下；</w:t>
      </w:r>
      <w:r>
        <w:rPr>
          <w:rFonts w:hint="default" w:ascii="Times New Roman" w:hAnsi="Times New Roman" w:eastAsia="Times New Roman"/>
          <w:color w:val="auto"/>
          <w:sz w:val="32"/>
          <w:lang w:val="en-US"/>
        </w:rPr>
        <w:t>5</w:t>
      </w:r>
      <w:r>
        <w:rPr>
          <w:rFonts w:hint="eastAsia" w:ascii="宋体" w:hAnsi="宋体"/>
          <w:color w:val="auto"/>
          <w:sz w:val="32"/>
          <w:lang w:val="zh-CN"/>
        </w:rPr>
        <w:t>岁以下儿童死亡率分别控制在</w:t>
      </w:r>
      <w:r>
        <w:rPr>
          <w:rFonts w:hint="default" w:ascii="Times New Roman" w:hAnsi="Times New Roman" w:eastAsia="Times New Roman"/>
          <w:color w:val="auto"/>
          <w:sz w:val="32"/>
          <w:lang w:val="en-US"/>
        </w:rPr>
        <w:t>9.5</w:t>
      </w:r>
      <w:r>
        <w:rPr>
          <w:rFonts w:hint="eastAsia" w:ascii="宋体" w:hAnsi="宋体"/>
          <w:color w:val="auto"/>
          <w:sz w:val="32"/>
          <w:lang w:val="zh-CN"/>
        </w:rPr>
        <w:t>‰及以下和</w:t>
      </w:r>
      <w:r>
        <w:rPr>
          <w:rFonts w:hint="default" w:ascii="Times New Roman" w:hAnsi="Times New Roman" w:eastAsia="Times New Roman"/>
          <w:color w:val="auto"/>
          <w:sz w:val="32"/>
          <w:lang w:val="en-US"/>
        </w:rPr>
        <w:t>6</w:t>
      </w:r>
      <w:r>
        <w:rPr>
          <w:rFonts w:hint="eastAsia" w:ascii="宋体" w:hAnsi="宋体"/>
          <w:color w:val="auto"/>
          <w:sz w:val="32"/>
          <w:lang w:val="zh-CN"/>
        </w:rPr>
        <w:t>‰及以下；孕产妇死亡率分别下降到</w:t>
      </w:r>
      <w:r>
        <w:rPr>
          <w:rFonts w:hint="default" w:ascii="Times New Roman" w:hAnsi="Times New Roman" w:eastAsia="Times New Roman"/>
          <w:color w:val="auto"/>
          <w:sz w:val="32"/>
          <w:lang w:val="en-US"/>
        </w:rPr>
        <w:t>18/10</w:t>
      </w:r>
      <w:r>
        <w:rPr>
          <w:rFonts w:hint="eastAsia" w:ascii="宋体" w:hAnsi="宋体"/>
          <w:color w:val="auto"/>
          <w:sz w:val="32"/>
          <w:lang w:val="zh-CN"/>
        </w:rPr>
        <w:t>万及以下和</w:t>
      </w:r>
      <w:r>
        <w:rPr>
          <w:rFonts w:hint="default" w:ascii="Times New Roman" w:hAnsi="Times New Roman" w:eastAsia="Times New Roman"/>
          <w:color w:val="auto"/>
          <w:sz w:val="32"/>
          <w:lang w:val="en-US"/>
        </w:rPr>
        <w:t>12/10</w:t>
      </w:r>
      <w:r>
        <w:rPr>
          <w:rFonts w:hint="eastAsia" w:ascii="宋体" w:hAnsi="宋体"/>
          <w:color w:val="auto"/>
          <w:sz w:val="32"/>
          <w:lang w:val="zh-CN"/>
        </w:rPr>
        <w:t>万及以下；产前筛查率分别达到</w:t>
      </w:r>
      <w:r>
        <w:rPr>
          <w:rFonts w:hint="default" w:ascii="Times New Roman" w:hAnsi="Times New Roman" w:eastAsia="Times New Roman"/>
          <w:color w:val="auto"/>
          <w:sz w:val="32"/>
          <w:lang w:val="en-US"/>
        </w:rPr>
        <w:t>70%</w:t>
      </w:r>
      <w:r>
        <w:rPr>
          <w:rFonts w:hint="eastAsia" w:ascii="宋体" w:hAnsi="宋体"/>
          <w:color w:val="auto"/>
          <w:sz w:val="32"/>
          <w:lang w:val="zh-CN"/>
        </w:rPr>
        <w:t>及以上和</w:t>
      </w:r>
      <w:r>
        <w:rPr>
          <w:rFonts w:hint="default" w:ascii="Times New Roman" w:hAnsi="Times New Roman" w:eastAsia="Times New Roman"/>
          <w:color w:val="auto"/>
          <w:sz w:val="32"/>
          <w:lang w:val="en-US"/>
        </w:rPr>
        <w:t>80%</w:t>
      </w:r>
      <w:r>
        <w:rPr>
          <w:rFonts w:hint="eastAsia" w:ascii="宋体" w:hAnsi="宋体"/>
          <w:color w:val="auto"/>
          <w:sz w:val="32"/>
          <w:lang w:val="zh-CN"/>
        </w:rPr>
        <w:t>及以上；新生儿遗传代谢性疾病筛查率达到</w:t>
      </w:r>
      <w:r>
        <w:rPr>
          <w:rFonts w:hint="default" w:ascii="Times New Roman" w:hAnsi="Times New Roman" w:eastAsia="Times New Roman"/>
          <w:color w:val="auto"/>
          <w:sz w:val="32"/>
          <w:lang w:val="en-US"/>
        </w:rPr>
        <w:t>98%</w:t>
      </w:r>
      <w:r>
        <w:rPr>
          <w:rFonts w:hint="eastAsia" w:ascii="宋体" w:hAnsi="宋体"/>
          <w:color w:val="auto"/>
          <w:sz w:val="32"/>
          <w:lang w:val="zh-CN"/>
        </w:rPr>
        <w:t>及以上；新生儿听力筛查率达到</w:t>
      </w:r>
      <w:r>
        <w:rPr>
          <w:rFonts w:hint="default" w:ascii="Times New Roman" w:hAnsi="Times New Roman" w:eastAsia="Times New Roman"/>
          <w:color w:val="auto"/>
          <w:sz w:val="32"/>
          <w:lang w:val="en-US"/>
        </w:rPr>
        <w:t>90%</w:t>
      </w:r>
      <w:r>
        <w:rPr>
          <w:rFonts w:hint="eastAsia" w:ascii="宋体" w:hAnsi="宋体"/>
          <w:color w:val="auto"/>
          <w:sz w:val="32"/>
          <w:lang w:val="zh-CN"/>
        </w:rPr>
        <w:t>及以上；先天性心脏病、唐氏综合征、耳聋、神经管缺陷、地中海贫血等严重出生缺陷得到有效控制；</w:t>
      </w:r>
      <w:r>
        <w:rPr>
          <w:rFonts w:hint="default" w:ascii="Times New Roman" w:hAnsi="Times New Roman" w:eastAsia="Times New Roman"/>
          <w:color w:val="auto"/>
          <w:sz w:val="32"/>
          <w:lang w:val="en-US"/>
        </w:rPr>
        <w:t>7</w:t>
      </w:r>
      <w:r>
        <w:rPr>
          <w:rFonts w:hint="eastAsia" w:ascii="宋体" w:hAnsi="宋体"/>
          <w:color w:val="auto"/>
          <w:sz w:val="32"/>
          <w:lang w:val="zh-CN"/>
        </w:rPr>
        <w:t>岁以下儿童健康管理率分别达到</w:t>
      </w:r>
      <w:r>
        <w:rPr>
          <w:rFonts w:hint="default" w:ascii="Times New Roman" w:hAnsi="Times New Roman" w:eastAsia="Times New Roman"/>
          <w:color w:val="auto"/>
          <w:sz w:val="32"/>
          <w:lang w:val="en-US"/>
        </w:rPr>
        <w:t>85%</w:t>
      </w:r>
      <w:r>
        <w:rPr>
          <w:rFonts w:hint="eastAsia" w:ascii="宋体" w:hAnsi="宋体"/>
          <w:color w:val="auto"/>
          <w:sz w:val="32"/>
          <w:lang w:val="zh-CN"/>
        </w:rPr>
        <w:t>以上和</w:t>
      </w:r>
      <w:r>
        <w:rPr>
          <w:rFonts w:hint="default" w:ascii="Times New Roman" w:hAnsi="Times New Roman" w:eastAsia="Times New Roman"/>
          <w:color w:val="auto"/>
          <w:sz w:val="32"/>
          <w:lang w:val="en-US"/>
        </w:rPr>
        <w:t>90%</w:t>
      </w:r>
      <w:r>
        <w:rPr>
          <w:rFonts w:hint="eastAsia" w:ascii="宋体" w:hAnsi="宋体"/>
          <w:color w:val="auto"/>
          <w:sz w:val="32"/>
          <w:lang w:val="zh-CN"/>
        </w:rPr>
        <w:t>以上；农村适龄妇女宫颈癌和乳腺癌（以下简称</w:t>
      </w:r>
      <w:r>
        <w:rPr>
          <w:rFonts w:hint="default" w:ascii="宋体" w:hAnsi="宋体"/>
          <w:color w:val="auto"/>
          <w:sz w:val="32"/>
          <w:lang w:val="zh-CN"/>
        </w:rPr>
        <w:t>“</w:t>
      </w:r>
      <w:r>
        <w:rPr>
          <w:rFonts w:hint="eastAsia" w:ascii="宋体" w:hAnsi="宋体"/>
          <w:color w:val="auto"/>
          <w:sz w:val="32"/>
          <w:lang w:val="zh-CN"/>
        </w:rPr>
        <w:t>两癌</w:t>
      </w:r>
      <w:r>
        <w:rPr>
          <w:rFonts w:hint="default" w:ascii="宋体" w:hAnsi="宋体"/>
          <w:color w:val="auto"/>
          <w:sz w:val="32"/>
          <w:lang w:val="zh-CN"/>
        </w:rPr>
        <w:t>”</w:t>
      </w:r>
      <w:r>
        <w:rPr>
          <w:rFonts w:hint="eastAsia" w:ascii="宋体" w:hAnsi="宋体"/>
          <w:color w:val="auto"/>
          <w:sz w:val="32"/>
          <w:lang w:val="zh-CN"/>
        </w:rPr>
        <w:t>）筛查覆盖率分别达到</w:t>
      </w:r>
      <w:r>
        <w:rPr>
          <w:rFonts w:hint="default" w:ascii="Times New Roman" w:hAnsi="Times New Roman" w:eastAsia="Times New Roman"/>
          <w:color w:val="auto"/>
          <w:sz w:val="32"/>
          <w:lang w:val="en-US"/>
        </w:rPr>
        <w:t>80%</w:t>
      </w:r>
      <w:r>
        <w:rPr>
          <w:rFonts w:hint="eastAsia" w:ascii="宋体" w:hAnsi="宋体"/>
          <w:color w:val="auto"/>
          <w:sz w:val="32"/>
          <w:lang w:val="zh-CN"/>
        </w:rPr>
        <w:t>及以上和</w:t>
      </w:r>
      <w:r>
        <w:rPr>
          <w:rFonts w:hint="default" w:ascii="Times New Roman" w:hAnsi="Times New Roman" w:eastAsia="Times New Roman"/>
          <w:color w:val="auto"/>
          <w:sz w:val="32"/>
          <w:lang w:val="en-US"/>
        </w:rPr>
        <w:t>90%</w:t>
      </w:r>
      <w:r>
        <w:rPr>
          <w:rFonts w:hint="eastAsia" w:ascii="宋体" w:hAnsi="宋体"/>
          <w:color w:val="auto"/>
          <w:sz w:val="32"/>
          <w:lang w:val="zh-CN"/>
        </w:rPr>
        <w:t>及以上。</w:t>
      </w:r>
    </w:p>
    <w:p>
      <w:pPr>
        <w:spacing w:beforeLines="0" w:afterLines="0" w:line="600" w:lineRule="atLeast"/>
        <w:ind w:firstLine="640"/>
        <w:rPr>
          <w:rFonts w:hint="default" w:ascii="Times New Roman" w:hAnsi="Times New Roman" w:eastAsia="Times New Roman"/>
          <w:color w:val="auto"/>
          <w:sz w:val="32"/>
          <w:lang w:val="en-US"/>
        </w:rPr>
      </w:pPr>
      <w:r>
        <w:rPr>
          <w:rFonts w:hint="eastAsia" w:ascii="宋体" w:hAnsi="宋体"/>
          <w:color w:val="auto"/>
          <w:sz w:val="32"/>
          <w:lang w:val="zh-CN"/>
        </w:rPr>
        <w:t>提倡适龄人群主动学习掌握出生缺陷防治和儿童早期发展知识；主动接受婚前医学检查和孕前优生健康检查；倡导</w:t>
      </w:r>
      <w:r>
        <w:rPr>
          <w:rFonts w:hint="default" w:ascii="Times New Roman" w:hAnsi="Times New Roman" w:eastAsia="Times New Roman"/>
          <w:color w:val="auto"/>
          <w:sz w:val="32"/>
          <w:lang w:val="en-US"/>
        </w:rPr>
        <w:t>0</w:t>
      </w:r>
      <w:r>
        <w:rPr>
          <w:rFonts w:hint="eastAsia" w:ascii="宋体" w:hAnsi="宋体"/>
          <w:color w:val="auto"/>
          <w:sz w:val="32"/>
          <w:lang w:val="zh-CN"/>
        </w:rPr>
        <w:t>～</w:t>
      </w:r>
      <w:r>
        <w:rPr>
          <w:rFonts w:hint="default" w:ascii="Times New Roman" w:hAnsi="Times New Roman" w:eastAsia="Times New Roman"/>
          <w:color w:val="auto"/>
          <w:sz w:val="32"/>
          <w:lang w:val="en-US"/>
        </w:rPr>
        <w:t>6</w:t>
      </w:r>
      <w:r>
        <w:rPr>
          <w:rFonts w:hint="eastAsia" w:ascii="宋体" w:hAnsi="宋体"/>
          <w:color w:val="auto"/>
          <w:sz w:val="32"/>
          <w:lang w:val="zh-CN"/>
        </w:rPr>
        <w:t>个月婴儿纯母乳喂养，为</w:t>
      </w:r>
      <w:r>
        <w:rPr>
          <w:rFonts w:hint="default" w:ascii="Times New Roman" w:hAnsi="Times New Roman" w:eastAsia="Times New Roman"/>
          <w:color w:val="auto"/>
          <w:sz w:val="32"/>
          <w:lang w:val="en-US"/>
        </w:rPr>
        <w:t>6</w:t>
      </w:r>
      <w:r>
        <w:rPr>
          <w:rFonts w:hint="eastAsia" w:ascii="宋体" w:hAnsi="宋体"/>
          <w:color w:val="auto"/>
          <w:sz w:val="32"/>
          <w:lang w:val="zh-CN"/>
        </w:rPr>
        <w:t>个月以上婴儿适时合理添加辅食。</w:t>
      </w:r>
    </w:p>
    <w:p>
      <w:pPr>
        <w:spacing w:beforeLines="0" w:afterLines="0" w:line="600" w:lineRule="atLeast"/>
        <w:ind w:firstLine="643"/>
        <w:rPr>
          <w:rFonts w:hint="default" w:ascii="Times New Roman" w:hAnsi="Times New Roman" w:eastAsia="Times New Roman"/>
          <w:b/>
          <w:color w:val="auto"/>
          <w:sz w:val="32"/>
          <w:lang w:val="en-US"/>
        </w:rPr>
      </w:pPr>
      <w:r>
        <w:rPr>
          <w:rFonts w:hint="default" w:ascii="宋体" w:hAnsi="宋体"/>
          <w:b/>
          <w:color w:val="auto"/>
          <w:sz w:val="32"/>
          <w:lang w:val="zh-CN"/>
        </w:rPr>
        <w:t>——</w:t>
      </w:r>
      <w:r>
        <w:rPr>
          <w:rFonts w:hint="eastAsia" w:ascii="宋体" w:hAnsi="宋体"/>
          <w:b/>
          <w:color w:val="auto"/>
          <w:sz w:val="32"/>
          <w:lang w:val="zh-CN"/>
        </w:rPr>
        <w:t>个人和家庭：</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1.</w:t>
      </w:r>
      <w:r>
        <w:rPr>
          <w:rFonts w:hint="eastAsia" w:ascii="宋体" w:hAnsi="宋体"/>
          <w:color w:val="auto"/>
          <w:sz w:val="32"/>
          <w:lang w:val="zh-CN"/>
        </w:rPr>
        <w:t>积极准备，孕育健康新生命。主动了解妇幼保健和出生缺陷防治知识，充分认识怀孕和分娩是人类繁衍的正常生理过程，建议做到有计划、有准备。积极参加婚前、孕前健康检查，选择最佳的生育年龄，孕前</w:t>
      </w:r>
      <w:r>
        <w:rPr>
          <w:rFonts w:hint="default" w:ascii="Times New Roman" w:hAnsi="Times New Roman" w:eastAsia="Times New Roman"/>
          <w:color w:val="auto"/>
          <w:sz w:val="32"/>
          <w:lang w:val="en-US"/>
        </w:rPr>
        <w:t>3</w:t>
      </w:r>
      <w:r>
        <w:rPr>
          <w:rFonts w:hint="eastAsia" w:ascii="宋体" w:hAnsi="宋体"/>
          <w:color w:val="auto"/>
          <w:sz w:val="32"/>
          <w:lang w:val="zh-CN"/>
        </w:rPr>
        <w:t>个月至孕后</w:t>
      </w:r>
      <w:r>
        <w:rPr>
          <w:rFonts w:hint="default" w:ascii="Times New Roman" w:hAnsi="Times New Roman" w:eastAsia="Times New Roman"/>
          <w:color w:val="auto"/>
          <w:sz w:val="32"/>
          <w:lang w:val="en-US"/>
        </w:rPr>
        <w:t>3</w:t>
      </w:r>
      <w:r>
        <w:rPr>
          <w:rFonts w:hint="eastAsia" w:ascii="宋体" w:hAnsi="宋体"/>
          <w:color w:val="auto"/>
          <w:sz w:val="32"/>
          <w:lang w:val="zh-CN"/>
        </w:rPr>
        <w:t>个月补充叶酸。预防感染、戒烟戒酒、避免接触有毒有害物质和放射线。</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2.</w:t>
      </w:r>
      <w:r>
        <w:rPr>
          <w:rFonts w:hint="eastAsia" w:ascii="宋体" w:hAnsi="宋体"/>
          <w:color w:val="auto"/>
          <w:sz w:val="32"/>
          <w:lang w:val="zh-CN"/>
        </w:rPr>
        <w:t>定期产检，保障母婴安全。发现怀孕要尽早到医疗卫生机构建档建册，进行妊娠风险筛查与评估，按照不同风险管理要求主动按时接受孕产期保健服务，掌握孕产期自我保健知识和技能。孕期至少接受</w:t>
      </w:r>
      <w:r>
        <w:rPr>
          <w:rFonts w:hint="default" w:ascii="Times New Roman" w:hAnsi="Times New Roman" w:eastAsia="Times New Roman"/>
          <w:color w:val="auto"/>
          <w:sz w:val="32"/>
          <w:lang w:val="en-US"/>
        </w:rPr>
        <w:t>5</w:t>
      </w:r>
      <w:r>
        <w:rPr>
          <w:rFonts w:hint="eastAsia" w:ascii="宋体" w:hAnsi="宋体"/>
          <w:color w:val="auto"/>
          <w:sz w:val="32"/>
          <w:lang w:val="zh-CN"/>
        </w:rPr>
        <w:t>次产前检查（孕早期</w:t>
      </w:r>
      <w:r>
        <w:rPr>
          <w:rFonts w:hint="default" w:ascii="Times New Roman" w:hAnsi="Times New Roman" w:eastAsia="Times New Roman"/>
          <w:color w:val="auto"/>
          <w:sz w:val="32"/>
          <w:lang w:val="en-US"/>
        </w:rPr>
        <w:t>1</w:t>
      </w:r>
      <w:r>
        <w:rPr>
          <w:rFonts w:hint="eastAsia" w:ascii="宋体" w:hAnsi="宋体"/>
          <w:color w:val="auto"/>
          <w:sz w:val="32"/>
          <w:lang w:val="zh-CN"/>
        </w:rPr>
        <w:t>次，孕中期</w:t>
      </w:r>
      <w:r>
        <w:rPr>
          <w:rFonts w:hint="default" w:ascii="Times New Roman" w:hAnsi="Times New Roman" w:eastAsia="Times New Roman"/>
          <w:color w:val="auto"/>
          <w:sz w:val="32"/>
          <w:lang w:val="en-US"/>
        </w:rPr>
        <w:t>2</w:t>
      </w:r>
      <w:r>
        <w:rPr>
          <w:rFonts w:hint="eastAsia" w:ascii="宋体" w:hAnsi="宋体"/>
          <w:color w:val="auto"/>
          <w:sz w:val="32"/>
          <w:lang w:val="zh-CN"/>
        </w:rPr>
        <w:t>次，孕晚期</w:t>
      </w:r>
      <w:r>
        <w:rPr>
          <w:rFonts w:hint="default" w:ascii="Times New Roman" w:hAnsi="Times New Roman" w:eastAsia="Times New Roman"/>
          <w:color w:val="auto"/>
          <w:sz w:val="32"/>
          <w:lang w:val="en-US"/>
        </w:rPr>
        <w:t>2</w:t>
      </w:r>
      <w:r>
        <w:rPr>
          <w:rFonts w:hint="eastAsia" w:ascii="宋体" w:hAnsi="宋体"/>
          <w:color w:val="auto"/>
          <w:sz w:val="32"/>
          <w:lang w:val="zh-CN"/>
        </w:rPr>
        <w:t>次），有异常情况者建议遵医嘱适当增加检查次数，首次产前检查建议做艾滋病、梅毒和乙肝检查，定期接受产前筛查。</w:t>
      </w:r>
      <w:r>
        <w:rPr>
          <w:rFonts w:hint="default" w:ascii="Times New Roman" w:hAnsi="Times New Roman" w:eastAsia="Times New Roman"/>
          <w:color w:val="auto"/>
          <w:sz w:val="32"/>
          <w:lang w:val="en-US"/>
        </w:rPr>
        <w:t>35</w:t>
      </w:r>
      <w:r>
        <w:rPr>
          <w:rFonts w:hint="eastAsia" w:ascii="宋体" w:hAnsi="宋体"/>
          <w:color w:val="auto"/>
          <w:sz w:val="32"/>
          <w:lang w:val="zh-CN"/>
        </w:rPr>
        <w:t>岁以上的孕妇属于高龄孕妇，高龄高危孕妇建议及时到有资质的医疗机构接受产前诊断服务。怀孕期间，如果出现不适情况，建议立即去医疗卫生机构就诊。孕妇宜及时住院分娩，提倡自然分娩，减少非医学需要的剖宫产。孕妇宜保证合理膳食，均衡营养，维持合理体重。保持积极心态，放松心情有助于预防孕期和产后抑郁。产后</w:t>
      </w:r>
      <w:r>
        <w:rPr>
          <w:rFonts w:hint="default" w:ascii="Times New Roman" w:hAnsi="Times New Roman" w:eastAsia="Times New Roman"/>
          <w:color w:val="auto"/>
          <w:sz w:val="32"/>
          <w:lang w:val="en-US"/>
        </w:rPr>
        <w:t>3</w:t>
      </w:r>
      <w:r>
        <w:rPr>
          <w:rFonts w:hint="eastAsia" w:ascii="宋体" w:hAnsi="宋体"/>
          <w:color w:val="auto"/>
          <w:sz w:val="32"/>
          <w:lang w:val="zh-CN"/>
        </w:rPr>
        <w:t>～</w:t>
      </w:r>
      <w:r>
        <w:rPr>
          <w:rFonts w:hint="default" w:ascii="Times New Roman" w:hAnsi="Times New Roman" w:eastAsia="Times New Roman"/>
          <w:color w:val="auto"/>
          <w:sz w:val="32"/>
          <w:lang w:val="en-US"/>
        </w:rPr>
        <w:t>7</w:t>
      </w:r>
      <w:r>
        <w:rPr>
          <w:rFonts w:hint="eastAsia" w:ascii="宋体" w:hAnsi="宋体"/>
          <w:color w:val="auto"/>
          <w:sz w:val="32"/>
          <w:lang w:val="zh-CN"/>
        </w:rPr>
        <w:t>天和</w:t>
      </w:r>
      <w:r>
        <w:rPr>
          <w:rFonts w:hint="default" w:ascii="Times New Roman" w:hAnsi="Times New Roman" w:eastAsia="Times New Roman"/>
          <w:color w:val="auto"/>
          <w:sz w:val="32"/>
          <w:lang w:val="en-US"/>
        </w:rPr>
        <w:t>42</w:t>
      </w:r>
      <w:r>
        <w:rPr>
          <w:rFonts w:hint="eastAsia" w:ascii="宋体" w:hAnsi="宋体"/>
          <w:color w:val="auto"/>
          <w:sz w:val="32"/>
          <w:lang w:val="zh-CN"/>
        </w:rPr>
        <w:t>天主动接受社区医生访视，并结合自身情况，选择合适的避孕措施。</w:t>
      </w:r>
    </w:p>
    <w:p>
      <w:pPr>
        <w:spacing w:beforeLines="0" w:afterLines="0" w:line="600" w:lineRule="atLeast"/>
        <w:ind w:firstLine="643"/>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3.</w:t>
      </w:r>
      <w:r>
        <w:rPr>
          <w:rFonts w:hint="eastAsia" w:ascii="宋体" w:hAnsi="宋体"/>
          <w:color w:val="auto"/>
          <w:sz w:val="32"/>
          <w:lang w:val="zh-CN"/>
        </w:rPr>
        <w:t>科学养育，促进儿童健康成长。强化儿童家长为儿童健康第一责任人的理念，提高儿童家长健康素养。母乳是婴儿理想的天然食物，孩子出生后尽早开始母乳喂养，尽量纯母乳喂养</w:t>
      </w:r>
      <w:r>
        <w:rPr>
          <w:rFonts w:hint="default" w:ascii="Times New Roman" w:hAnsi="Times New Roman" w:eastAsia="Times New Roman"/>
          <w:color w:val="auto"/>
          <w:sz w:val="32"/>
          <w:lang w:val="en-US"/>
        </w:rPr>
        <w:t>6</w:t>
      </w:r>
      <w:r>
        <w:rPr>
          <w:rFonts w:hint="eastAsia" w:ascii="宋体" w:hAnsi="宋体"/>
          <w:color w:val="auto"/>
          <w:sz w:val="32"/>
          <w:lang w:val="zh-CN"/>
        </w:rPr>
        <w:t>个月，</w:t>
      </w:r>
      <w:r>
        <w:rPr>
          <w:rFonts w:hint="default" w:ascii="Times New Roman" w:hAnsi="Times New Roman" w:eastAsia="Times New Roman"/>
          <w:color w:val="auto"/>
          <w:sz w:val="32"/>
          <w:lang w:val="en-US"/>
        </w:rPr>
        <w:t>6</w:t>
      </w:r>
      <w:r>
        <w:rPr>
          <w:rFonts w:hint="eastAsia" w:ascii="宋体" w:hAnsi="宋体"/>
          <w:color w:val="auto"/>
          <w:sz w:val="32"/>
          <w:lang w:val="zh-CN"/>
        </w:rPr>
        <w:t>个月后逐渐给婴儿补充富含铁的泥糊状食物，</w:t>
      </w:r>
      <w:r>
        <w:rPr>
          <w:rFonts w:hint="default" w:ascii="Times New Roman" w:hAnsi="Times New Roman" w:eastAsia="Times New Roman"/>
          <w:color w:val="auto"/>
          <w:sz w:val="32"/>
          <w:lang w:val="en-US"/>
        </w:rPr>
        <w:t>1</w:t>
      </w:r>
      <w:r>
        <w:rPr>
          <w:rFonts w:hint="eastAsia" w:ascii="宋体" w:hAnsi="宋体"/>
          <w:color w:val="auto"/>
          <w:sz w:val="32"/>
          <w:lang w:val="zh-CN"/>
        </w:rPr>
        <w:t>岁以下婴儿不宜食用鲜奶。了解儿童发展特点，理性看待孩子间的差异，尊重每个孩子自身的发展节奏和特点，理解并尊重孩子的情绪和需求，为儿童提供安全、有益、有趣的成长环境。避免儿童因压力过大、缺乏运动、缺乏社交等因素影响大脑发育，妨碍心理成长。发现儿童心理行为问题，不要过于紧张或过分忽视，建议及时向专业人员咨询、求助。避免儿童发生摔伤、烧烫伤、窒息、中毒、触电、溺水、动物抓咬等意外伤害。</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4.</w:t>
      </w:r>
      <w:r>
        <w:rPr>
          <w:rFonts w:hint="eastAsia" w:ascii="宋体" w:hAnsi="宋体"/>
          <w:color w:val="auto"/>
          <w:sz w:val="32"/>
          <w:lang w:val="zh-CN"/>
        </w:rPr>
        <w:t>加强保健，预防儿童疾病。做好儿童健康管理，按照免疫规划程序进行预防接种。接受苯丙酮尿症、先天性甲状腺功能减低症和听力障碍等新生儿疾病筛查和视力、听力、智力、肢体残疾及孤独症筛查等</w:t>
      </w:r>
      <w:r>
        <w:rPr>
          <w:rFonts w:hint="default" w:ascii="Times New Roman" w:hAnsi="Times New Roman" w:eastAsia="Times New Roman"/>
          <w:color w:val="auto"/>
          <w:sz w:val="32"/>
          <w:lang w:val="en-US"/>
        </w:rPr>
        <w:t>0</w:t>
      </w:r>
      <w:r>
        <w:rPr>
          <w:rFonts w:hint="eastAsia" w:ascii="宋体" w:hAnsi="宋体"/>
          <w:color w:val="auto"/>
          <w:sz w:val="32"/>
          <w:lang w:val="zh-CN"/>
        </w:rPr>
        <w:t>～</w:t>
      </w:r>
      <w:r>
        <w:rPr>
          <w:rFonts w:hint="default" w:ascii="Times New Roman" w:hAnsi="Times New Roman" w:eastAsia="Times New Roman"/>
          <w:color w:val="auto"/>
          <w:sz w:val="32"/>
          <w:lang w:val="en-US"/>
        </w:rPr>
        <w:t>6</w:t>
      </w:r>
      <w:r>
        <w:rPr>
          <w:rFonts w:hint="eastAsia" w:ascii="宋体" w:hAnsi="宋体"/>
          <w:color w:val="auto"/>
          <w:sz w:val="32"/>
          <w:lang w:val="zh-CN"/>
        </w:rPr>
        <w:t>岁儿童残疾筛查，筛查阳性者需主动接受随访、确诊、治疗和干预。</w:t>
      </w:r>
      <w:r>
        <w:rPr>
          <w:rFonts w:hint="default" w:ascii="Times New Roman" w:hAnsi="Times New Roman" w:eastAsia="Times New Roman"/>
          <w:color w:val="auto"/>
          <w:sz w:val="32"/>
          <w:lang w:val="en-US"/>
        </w:rPr>
        <w:t>3</w:t>
      </w:r>
      <w:r>
        <w:rPr>
          <w:rFonts w:hint="eastAsia" w:ascii="宋体" w:hAnsi="宋体"/>
          <w:color w:val="auto"/>
          <w:sz w:val="32"/>
          <w:lang w:val="zh-CN"/>
        </w:rPr>
        <w:t>岁以下儿童应到乡镇卫生院或社区卫生服务中心接受</w:t>
      </w:r>
      <w:r>
        <w:rPr>
          <w:rFonts w:hint="default" w:ascii="Times New Roman" w:hAnsi="Times New Roman" w:eastAsia="Times New Roman"/>
          <w:color w:val="auto"/>
          <w:sz w:val="32"/>
          <w:lang w:val="en-US"/>
        </w:rPr>
        <w:t>8</w:t>
      </w:r>
      <w:r>
        <w:rPr>
          <w:rFonts w:hint="eastAsia" w:ascii="宋体" w:hAnsi="宋体"/>
          <w:color w:val="auto"/>
          <w:sz w:val="32"/>
          <w:lang w:val="zh-CN"/>
        </w:rPr>
        <w:t>次健康检查，</w:t>
      </w:r>
      <w:r>
        <w:rPr>
          <w:rFonts w:hint="default" w:ascii="Times New Roman" w:hAnsi="Times New Roman" w:eastAsia="Times New Roman"/>
          <w:color w:val="auto"/>
          <w:sz w:val="32"/>
          <w:lang w:val="en-US"/>
        </w:rPr>
        <w:t>4</w:t>
      </w:r>
      <w:r>
        <w:rPr>
          <w:rFonts w:hint="eastAsia" w:ascii="宋体" w:hAnsi="宋体"/>
          <w:color w:val="auto"/>
          <w:sz w:val="32"/>
          <w:lang w:val="zh-CN"/>
        </w:rPr>
        <w:t>～</w:t>
      </w:r>
      <w:r>
        <w:rPr>
          <w:rFonts w:hint="default" w:ascii="Times New Roman" w:hAnsi="Times New Roman" w:eastAsia="Times New Roman"/>
          <w:color w:val="auto"/>
          <w:sz w:val="32"/>
          <w:lang w:val="en-US"/>
        </w:rPr>
        <w:t>6</w:t>
      </w:r>
      <w:r>
        <w:rPr>
          <w:rFonts w:hint="eastAsia" w:ascii="宋体" w:hAnsi="宋体"/>
          <w:color w:val="auto"/>
          <w:sz w:val="32"/>
          <w:lang w:val="zh-CN"/>
        </w:rPr>
        <w:t>岁儿童每年应接受一次健康检查。</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5.</w:t>
      </w:r>
      <w:r>
        <w:rPr>
          <w:rFonts w:hint="eastAsia" w:ascii="宋体" w:hAnsi="宋体"/>
          <w:color w:val="auto"/>
          <w:sz w:val="32"/>
          <w:lang w:val="zh-CN"/>
        </w:rPr>
        <w:t>关爱女性，促进生殖健康。建议女性提高生殖健康意识和能力，主动获取青春期、生育期、更年期和老年期保健相关知识，注意经期卫生，熟悉生殖道感染、乳腺疾病和宫颈癌等妇女常见疾病的症状和预防知识。建议家属加强对特殊时期妇女的心理关怀。掌握避孕方法知情选择，知晓各种避孕方法，了解自己使用的避孕方法的注意事项。认识到促进生殖健康对个人、家庭和社会的影响，增强性道德、性健康、性安全意识，拒绝不安全性行为，避免意外妊娠、过早生育以及性相关疾病传播。</w:t>
      </w:r>
    </w:p>
    <w:p>
      <w:pPr>
        <w:spacing w:beforeLines="0" w:afterLines="0" w:line="600" w:lineRule="atLeast"/>
        <w:ind w:firstLine="643"/>
        <w:rPr>
          <w:rFonts w:hint="default" w:ascii="Times New Roman" w:hAnsi="Times New Roman" w:eastAsia="Times New Roman"/>
          <w:b/>
          <w:color w:val="auto"/>
          <w:sz w:val="32"/>
          <w:lang w:val="en-US"/>
        </w:rPr>
      </w:pPr>
      <w:r>
        <w:rPr>
          <w:rFonts w:hint="default" w:ascii="宋体" w:hAnsi="宋体"/>
          <w:b/>
          <w:color w:val="auto"/>
          <w:sz w:val="32"/>
          <w:lang w:val="zh-CN"/>
        </w:rPr>
        <w:t>——</w:t>
      </w:r>
      <w:r>
        <w:rPr>
          <w:rFonts w:hint="eastAsia" w:ascii="宋体" w:hAnsi="宋体"/>
          <w:b/>
          <w:color w:val="auto"/>
          <w:sz w:val="32"/>
          <w:lang w:val="zh-CN"/>
        </w:rPr>
        <w:t>社会和政府：</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1.</w:t>
      </w:r>
      <w:r>
        <w:rPr>
          <w:rFonts w:hint="eastAsia" w:ascii="宋体" w:hAnsi="宋体"/>
          <w:color w:val="auto"/>
          <w:sz w:val="32"/>
          <w:lang w:val="zh-CN"/>
        </w:rPr>
        <w:t>完善妇幼健康服务体系，实施妇幼健康和计划生育服务保障工程，以中西部和贫困地区为重点，加强妇幼保健机构基础设施建设，确保省、市、县三级均有</w:t>
      </w:r>
      <w:r>
        <w:rPr>
          <w:rFonts w:hint="default" w:ascii="Times New Roman" w:hAnsi="Times New Roman" w:eastAsia="Times New Roman"/>
          <w:color w:val="auto"/>
          <w:sz w:val="32"/>
          <w:lang w:val="en-US"/>
        </w:rPr>
        <w:t>1</w:t>
      </w:r>
      <w:r>
        <w:rPr>
          <w:rFonts w:hint="eastAsia" w:ascii="宋体" w:hAnsi="宋体"/>
          <w:color w:val="auto"/>
          <w:sz w:val="32"/>
          <w:lang w:val="zh-CN"/>
        </w:rPr>
        <w:t>所标准化妇幼保健机构。加强儿科、产科、助产等急需紧缺人才培养，增强岗位吸引力。（卫生健康委牵头，发展改革委、教育部、财政部、人力资源社会保障部按职责分工负责）</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2.</w:t>
      </w:r>
      <w:r>
        <w:rPr>
          <w:rFonts w:hint="eastAsia" w:ascii="宋体" w:hAnsi="宋体"/>
          <w:color w:val="auto"/>
          <w:sz w:val="32"/>
          <w:lang w:val="zh-CN"/>
        </w:rPr>
        <w:t>加强婚前、孕前、孕产期、新生儿期和儿童期保健工作，推广使用《母子健康手册》，为妇女儿童提供系统、规范的服务。健全出生缺陷防治网络，提高出生缺陷综合防治服务可及性。（卫生健康委负责）</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3.</w:t>
      </w:r>
      <w:r>
        <w:rPr>
          <w:rFonts w:hint="eastAsia" w:ascii="宋体" w:hAnsi="宋体"/>
          <w:color w:val="auto"/>
          <w:sz w:val="32"/>
          <w:lang w:val="zh-CN"/>
        </w:rPr>
        <w:t>大力普及妇幼健康科学知识，推广婚姻登记、婚前医学检查和生育指导</w:t>
      </w:r>
      <w:r>
        <w:rPr>
          <w:rFonts w:hint="default" w:ascii="宋体" w:hAnsi="宋体"/>
          <w:color w:val="auto"/>
          <w:sz w:val="32"/>
          <w:lang w:val="zh-CN"/>
        </w:rPr>
        <w:t>“</w:t>
      </w:r>
      <w:r>
        <w:rPr>
          <w:rFonts w:hint="eastAsia" w:ascii="宋体" w:hAnsi="宋体"/>
          <w:color w:val="auto"/>
          <w:sz w:val="32"/>
          <w:lang w:val="zh-CN"/>
        </w:rPr>
        <w:t>一站式</w:t>
      </w:r>
      <w:r>
        <w:rPr>
          <w:rFonts w:hint="default" w:ascii="宋体" w:hAnsi="宋体"/>
          <w:color w:val="auto"/>
          <w:sz w:val="32"/>
          <w:lang w:val="zh-CN"/>
        </w:rPr>
        <w:t>”</w:t>
      </w:r>
      <w:r>
        <w:rPr>
          <w:rFonts w:hint="eastAsia" w:ascii="宋体" w:hAnsi="宋体"/>
          <w:color w:val="auto"/>
          <w:sz w:val="32"/>
          <w:lang w:val="zh-CN"/>
        </w:rPr>
        <w:t>服务模式。做好人工流产后避孕服务，规范产后避孕服务，提高免费避孕药具发放服务可及性。加强女职工劳动保护，避免准备怀孕和孕期、哺乳期妇女接触有毒有害物质和放射线。推动建设孕妇休息室、母婴室等设施。（卫生健康委牵头，民政部、全国总工会、全国妇联按职责分工负责）</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4.</w:t>
      </w:r>
      <w:r>
        <w:rPr>
          <w:rFonts w:hint="eastAsia" w:ascii="宋体" w:hAnsi="宋体"/>
          <w:color w:val="auto"/>
          <w:sz w:val="32"/>
          <w:lang w:val="zh-CN"/>
        </w:rPr>
        <w:t>为拟生育家庭提供科学备孕及生育力评估指导、孕前优生服务，为生育困难的夫妇提供不孕不育诊治，指导科学备孕。落实国家免费孕前优生健康检查，推动城乡居民全覆盖。广泛开展产前筛查，普及产前筛查适宜技术，规范应用高通量基因测序等技术，逐步实现怀孕妇女孕</w:t>
      </w:r>
      <w:r>
        <w:rPr>
          <w:rFonts w:hint="default" w:ascii="Times New Roman" w:hAnsi="Times New Roman" w:eastAsia="Times New Roman"/>
          <w:color w:val="auto"/>
          <w:sz w:val="32"/>
          <w:lang w:val="en-US"/>
        </w:rPr>
        <w:t>28</w:t>
      </w:r>
      <w:r>
        <w:rPr>
          <w:rFonts w:hint="eastAsia" w:ascii="宋体" w:hAnsi="宋体"/>
          <w:color w:val="auto"/>
          <w:sz w:val="32"/>
          <w:lang w:val="zh-CN"/>
        </w:rPr>
        <w:t>周前在自愿情况下至少接受１次产前筛查。在高发省份深入开展地中海贫血防控项目，逐步扩大覆盖范围。对确诊的先天性心脏病、唐氏综合征、神经管缺陷、地中海贫血等严重出生缺陷病例，及时给予医学指导和建议。（卫生健康委牵头，财政部按职责负责）</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5.</w:t>
      </w:r>
      <w:r>
        <w:rPr>
          <w:rFonts w:hint="eastAsia" w:ascii="宋体" w:hAnsi="宋体"/>
          <w:color w:val="auto"/>
          <w:sz w:val="32"/>
          <w:lang w:val="zh-CN"/>
        </w:rPr>
        <w:t>落实妊娠风险筛查评估、高危专案管理、危急重症救治、孕产妇死亡个案报告和约谈通报</w:t>
      </w:r>
      <w:r>
        <w:rPr>
          <w:rFonts w:hint="default" w:ascii="Times New Roman" w:hAnsi="Times New Roman" w:eastAsia="Times New Roman"/>
          <w:color w:val="auto"/>
          <w:sz w:val="32"/>
          <w:lang w:val="en-US"/>
        </w:rPr>
        <w:t>5</w:t>
      </w:r>
      <w:r>
        <w:rPr>
          <w:rFonts w:hint="eastAsia" w:ascii="宋体" w:hAnsi="宋体"/>
          <w:color w:val="auto"/>
          <w:sz w:val="32"/>
          <w:lang w:val="zh-CN"/>
        </w:rPr>
        <w:t>项制度，加强危重孕产妇和新生儿救治保障能力建设，健全救治会诊、转诊等机制。孕产妇和新生儿按规定参加基本医疗保险、大病保险，并按规定享受相关待遇，符合条件的可享受医疗救助补助政策。对早产儿进行专案管理，在贫困地区开展新生儿安全等项目。（卫生健康委牵头，发展改革委、财政部、医保局按职责分工负责）</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6.</w:t>
      </w:r>
      <w:r>
        <w:rPr>
          <w:rFonts w:hint="eastAsia" w:ascii="宋体" w:hAnsi="宋体"/>
          <w:color w:val="auto"/>
          <w:sz w:val="32"/>
          <w:lang w:val="zh-CN"/>
        </w:rPr>
        <w:t>全面开展新生儿疾病筛查，加强筛查阳性病例的随访、确诊、治疗和干预，提高确诊病例治疗率，逐步扩大新生儿疾病筛查病种范围。继续开展先天性结构畸形和遗传代谢病救助项目，聚焦严重多发、可筛可治、技术成熟、预后良好、费用可控的出生缺陷重点病种，开展筛查、诊断、治疗和贫困救助全程服务试点。建立新生儿及儿童致残性疾病和出生缺陷筛查、诊断、干预一体化工作机制。（卫生健康委牵头，财政部、中国残联按职责分工负责）</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7.</w:t>
      </w:r>
      <w:r>
        <w:rPr>
          <w:rFonts w:hint="eastAsia" w:ascii="宋体" w:hAnsi="宋体"/>
          <w:color w:val="auto"/>
          <w:sz w:val="32"/>
          <w:lang w:val="zh-CN"/>
        </w:rPr>
        <w:t>做实</w:t>
      </w:r>
      <w:r>
        <w:rPr>
          <w:rFonts w:hint="default" w:ascii="Times New Roman" w:hAnsi="Times New Roman" w:eastAsia="Times New Roman"/>
          <w:color w:val="auto"/>
          <w:sz w:val="32"/>
          <w:lang w:val="en-US"/>
        </w:rPr>
        <w:t>0</w:t>
      </w:r>
      <w:r>
        <w:rPr>
          <w:rFonts w:hint="eastAsia" w:ascii="宋体" w:hAnsi="宋体"/>
          <w:color w:val="auto"/>
          <w:sz w:val="32"/>
          <w:lang w:val="zh-CN"/>
        </w:rPr>
        <w:t>～</w:t>
      </w:r>
      <w:r>
        <w:rPr>
          <w:rFonts w:hint="default" w:ascii="Times New Roman" w:hAnsi="Times New Roman" w:eastAsia="Times New Roman"/>
          <w:color w:val="auto"/>
          <w:sz w:val="32"/>
          <w:lang w:val="en-US"/>
        </w:rPr>
        <w:t>6</w:t>
      </w:r>
      <w:r>
        <w:rPr>
          <w:rFonts w:hint="eastAsia" w:ascii="宋体" w:hAnsi="宋体"/>
          <w:color w:val="auto"/>
          <w:sz w:val="32"/>
          <w:lang w:val="zh-CN"/>
        </w:rPr>
        <w:t>岁儿童健康管理，规范开展新生儿访视，指导家长做好新生儿喂养、护理和疾病预防。实施婴幼儿喂养策略，创新爱婴医院管理，将贫困地区儿童营养改善项目覆盖到所有贫困县。引导儿童科学均衡饮食，加强体育锻炼，实现儿童肥胖综合预防和干预。加强托幼机构卫生保健业务指导和监督工作。（卫生健康委牵头，发展改革委、教育部按职责分工负责）</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8.</w:t>
      </w:r>
      <w:r>
        <w:rPr>
          <w:rFonts w:hint="eastAsia" w:ascii="宋体" w:hAnsi="宋体"/>
          <w:color w:val="auto"/>
          <w:sz w:val="32"/>
          <w:lang w:val="zh-CN"/>
        </w:rPr>
        <w:t>加强儿童早期发展服务，结合实施基本公共卫生服务项目，推动儿童早期发展均等化，促进儿童早期发展服务进农村、进社区、进家庭，探索适宜农村儿童早期发展的服务内容和模式。提高婴幼儿照护的可及性。完善残疾儿童康复救助制度。加强残疾人专业康复机构、康复医疗机构和基层医疗康复设施、人才队伍建设，健全衔接协作机制，不断提高康复保障水平。（卫生健康委牵头，发展改革委、教育部、财政部、全国妇联、中国残联按职责分工负责）</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9.</w:t>
      </w:r>
      <w:r>
        <w:rPr>
          <w:rFonts w:hint="eastAsia" w:ascii="宋体" w:hAnsi="宋体"/>
          <w:color w:val="auto"/>
          <w:sz w:val="32"/>
          <w:lang w:val="zh-CN"/>
        </w:rPr>
        <w:t>以贫困地区为重点，逐步扩大农村妇女</w:t>
      </w:r>
      <w:r>
        <w:rPr>
          <w:rFonts w:hint="default" w:ascii="宋体" w:hAnsi="宋体"/>
          <w:color w:val="auto"/>
          <w:sz w:val="32"/>
          <w:lang w:val="zh-CN"/>
        </w:rPr>
        <w:t>“</w:t>
      </w:r>
      <w:r>
        <w:rPr>
          <w:rFonts w:hint="eastAsia" w:ascii="宋体" w:hAnsi="宋体"/>
          <w:color w:val="auto"/>
          <w:sz w:val="32"/>
          <w:lang w:val="zh-CN"/>
        </w:rPr>
        <w:t>两癌</w:t>
      </w:r>
      <w:r>
        <w:rPr>
          <w:rFonts w:hint="default" w:ascii="宋体" w:hAnsi="宋体"/>
          <w:color w:val="auto"/>
          <w:sz w:val="32"/>
          <w:lang w:val="zh-CN"/>
        </w:rPr>
        <w:t>”</w:t>
      </w:r>
      <w:r>
        <w:rPr>
          <w:rFonts w:hint="eastAsia" w:ascii="宋体" w:hAnsi="宋体"/>
          <w:color w:val="auto"/>
          <w:sz w:val="32"/>
          <w:lang w:val="zh-CN"/>
        </w:rPr>
        <w:t>筛查项目覆盖面，继续实施预防艾滋病、梅毒和乙肝母婴传播项目，尽快实现消除艾滋病母婴传播的目标。以肺炎、腹泻、贫血、哮喘、龋齿、视力不良、心理行为问题等为重点，推广儿童疾病综合管理适宜技术。（卫生健康委牵头，财政部、全国妇联按职责分工负责）</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10.</w:t>
      </w:r>
      <w:r>
        <w:rPr>
          <w:rFonts w:hint="eastAsia" w:ascii="宋体" w:hAnsi="宋体"/>
          <w:color w:val="auto"/>
          <w:sz w:val="32"/>
          <w:lang w:val="zh-CN"/>
        </w:rPr>
        <w:t>在提供妇幼保健服务的医疗机构积极推广应用中医药适宜技术和方法，开展中成药合理使用和培训。扩大中医药在孕育调养、产后康复等方面应用。充分发挥中医药在儿童医疗保健服务中的作用。加强妇女儿童疾病诊疗中西医临床协作，提高疑难病、急危重症诊疗水平。（中医药局牵头，卫生健康委按职责负责）</w:t>
      </w:r>
    </w:p>
    <w:p>
      <w:pPr>
        <w:spacing w:beforeLines="0" w:afterLines="0" w:line="600" w:lineRule="atLeast"/>
        <w:ind w:firstLine="643"/>
        <w:rPr>
          <w:rFonts w:hint="default" w:ascii="Times New Roman" w:hAnsi="Times New Roman" w:eastAsia="Times New Roman"/>
          <w:b/>
          <w:color w:val="auto"/>
          <w:sz w:val="32"/>
          <w:lang w:val="en-US"/>
        </w:rPr>
      </w:pPr>
      <w:r>
        <w:rPr>
          <w:rFonts w:hint="eastAsia" w:ascii="宋体" w:hAnsi="宋体"/>
          <w:b/>
          <w:color w:val="auto"/>
          <w:sz w:val="32"/>
          <w:lang w:val="zh-CN"/>
        </w:rPr>
        <w:t>（八）中小学健康促进行动。</w:t>
      </w:r>
    </w:p>
    <w:p>
      <w:pPr>
        <w:spacing w:beforeLines="0" w:afterLines="0" w:line="600" w:lineRule="atLeast"/>
        <w:ind w:firstLine="640"/>
        <w:rPr>
          <w:rFonts w:hint="default" w:ascii="Times New Roman" w:hAnsi="Times New Roman" w:eastAsia="Times New Roman"/>
          <w:color w:val="auto"/>
          <w:sz w:val="32"/>
          <w:lang w:val="en-US"/>
        </w:rPr>
      </w:pPr>
      <w:r>
        <w:rPr>
          <w:rFonts w:hint="eastAsia" w:ascii="宋体" w:hAnsi="宋体"/>
          <w:color w:val="auto"/>
          <w:sz w:val="32"/>
          <w:lang w:val="zh-CN"/>
        </w:rPr>
        <w:t>中小学生处于成长发育的关键阶段。加强中小学健康促进，增强青少年体质，是促进中小学生健康成长和全面发展的需要。根据</w:t>
      </w:r>
      <w:r>
        <w:rPr>
          <w:rFonts w:hint="default" w:ascii="Times New Roman" w:hAnsi="Times New Roman" w:eastAsia="Times New Roman"/>
          <w:color w:val="auto"/>
          <w:sz w:val="32"/>
          <w:lang w:val="en-US"/>
        </w:rPr>
        <w:t>2014</w:t>
      </w:r>
      <w:r>
        <w:rPr>
          <w:rFonts w:hint="eastAsia" w:ascii="宋体" w:hAnsi="宋体"/>
          <w:color w:val="auto"/>
          <w:sz w:val="32"/>
          <w:lang w:val="zh-CN"/>
        </w:rPr>
        <w:t>年中国学生体质与健康调研结果，我国</w:t>
      </w:r>
      <w:r>
        <w:rPr>
          <w:rFonts w:hint="default" w:ascii="Times New Roman" w:hAnsi="Times New Roman" w:eastAsia="Times New Roman"/>
          <w:color w:val="auto"/>
          <w:sz w:val="32"/>
          <w:lang w:val="en-US"/>
        </w:rPr>
        <w:t>7</w:t>
      </w:r>
      <w:r>
        <w:rPr>
          <w:rFonts w:hint="eastAsia" w:ascii="宋体" w:hAnsi="宋体"/>
          <w:color w:val="auto"/>
          <w:sz w:val="32"/>
          <w:lang w:val="zh-CN"/>
        </w:rPr>
        <w:t>～</w:t>
      </w:r>
      <w:r>
        <w:rPr>
          <w:rFonts w:hint="default" w:ascii="Times New Roman" w:hAnsi="Times New Roman" w:eastAsia="Times New Roman"/>
          <w:color w:val="auto"/>
          <w:sz w:val="32"/>
          <w:lang w:val="en-US"/>
        </w:rPr>
        <w:t>18</w:t>
      </w:r>
      <w:r>
        <w:rPr>
          <w:rFonts w:hint="eastAsia" w:ascii="宋体" w:hAnsi="宋体"/>
          <w:color w:val="auto"/>
          <w:sz w:val="32"/>
          <w:lang w:val="zh-CN"/>
        </w:rPr>
        <w:t>岁城市男生和女生的肥胖检出率分别为</w:t>
      </w:r>
      <w:r>
        <w:rPr>
          <w:rFonts w:hint="default" w:ascii="Times New Roman" w:hAnsi="Times New Roman" w:eastAsia="Times New Roman"/>
          <w:color w:val="auto"/>
          <w:sz w:val="32"/>
          <w:lang w:val="en-US"/>
        </w:rPr>
        <w:t>11.1%</w:t>
      </w:r>
      <w:r>
        <w:rPr>
          <w:rFonts w:hint="eastAsia" w:ascii="宋体" w:hAnsi="宋体"/>
          <w:color w:val="auto"/>
          <w:sz w:val="32"/>
          <w:lang w:val="zh-CN"/>
        </w:rPr>
        <w:t>和</w:t>
      </w:r>
      <w:r>
        <w:rPr>
          <w:rFonts w:hint="default" w:ascii="Times New Roman" w:hAnsi="Times New Roman" w:eastAsia="Times New Roman"/>
          <w:color w:val="auto"/>
          <w:sz w:val="32"/>
          <w:lang w:val="en-US"/>
        </w:rPr>
        <w:t>5.8%</w:t>
      </w:r>
      <w:r>
        <w:rPr>
          <w:rFonts w:hint="eastAsia" w:ascii="宋体" w:hAnsi="宋体"/>
          <w:color w:val="auto"/>
          <w:sz w:val="32"/>
          <w:lang w:val="zh-CN"/>
        </w:rPr>
        <w:t>，农村男生和女生的肥胖检出率分别为</w:t>
      </w:r>
      <w:r>
        <w:rPr>
          <w:rFonts w:hint="default" w:ascii="Times New Roman" w:hAnsi="Times New Roman" w:eastAsia="Times New Roman"/>
          <w:color w:val="auto"/>
          <w:sz w:val="32"/>
          <w:lang w:val="en-US"/>
        </w:rPr>
        <w:t>7.7%</w:t>
      </w:r>
      <w:r>
        <w:rPr>
          <w:rFonts w:hint="eastAsia" w:ascii="宋体" w:hAnsi="宋体"/>
          <w:color w:val="auto"/>
          <w:sz w:val="32"/>
          <w:lang w:val="zh-CN"/>
        </w:rPr>
        <w:t>和</w:t>
      </w:r>
      <w:r>
        <w:rPr>
          <w:rFonts w:hint="default" w:ascii="Times New Roman" w:hAnsi="Times New Roman" w:eastAsia="Times New Roman"/>
          <w:color w:val="auto"/>
          <w:sz w:val="32"/>
          <w:lang w:val="en-US"/>
        </w:rPr>
        <w:t>4.5%</w:t>
      </w:r>
      <w:r>
        <w:rPr>
          <w:rFonts w:hint="eastAsia" w:ascii="宋体" w:hAnsi="宋体"/>
          <w:color w:val="auto"/>
          <w:sz w:val="32"/>
          <w:lang w:val="zh-CN"/>
        </w:rPr>
        <w:t>。</w:t>
      </w:r>
      <w:r>
        <w:rPr>
          <w:rFonts w:hint="default" w:ascii="Times New Roman" w:hAnsi="Times New Roman" w:eastAsia="Times New Roman"/>
          <w:color w:val="auto"/>
          <w:sz w:val="32"/>
          <w:lang w:val="en-US"/>
        </w:rPr>
        <w:t>2018</w:t>
      </w:r>
      <w:r>
        <w:rPr>
          <w:rFonts w:hint="eastAsia" w:ascii="宋体" w:hAnsi="宋体"/>
          <w:color w:val="auto"/>
          <w:sz w:val="32"/>
          <w:lang w:val="zh-CN"/>
        </w:rPr>
        <w:t>年全国儿童青少年总体近视率为</w:t>
      </w:r>
      <w:r>
        <w:rPr>
          <w:rFonts w:hint="default" w:ascii="Times New Roman" w:hAnsi="Times New Roman" w:eastAsia="Times New Roman"/>
          <w:color w:val="auto"/>
          <w:sz w:val="32"/>
          <w:lang w:val="en-US"/>
        </w:rPr>
        <w:t>53.6%</w:t>
      </w:r>
      <w:r>
        <w:rPr>
          <w:rFonts w:hint="eastAsia" w:ascii="宋体" w:hAnsi="宋体"/>
          <w:color w:val="auto"/>
          <w:sz w:val="32"/>
          <w:lang w:val="zh-CN"/>
        </w:rPr>
        <w:t>。其中，</w:t>
      </w:r>
      <w:r>
        <w:rPr>
          <w:rFonts w:hint="default" w:ascii="Times New Roman" w:hAnsi="Times New Roman" w:eastAsia="Times New Roman"/>
          <w:color w:val="auto"/>
          <w:sz w:val="32"/>
          <w:lang w:val="en-US"/>
        </w:rPr>
        <w:t>6</w:t>
      </w:r>
      <w:r>
        <w:rPr>
          <w:rFonts w:hint="eastAsia" w:ascii="宋体" w:hAnsi="宋体"/>
          <w:color w:val="auto"/>
          <w:sz w:val="32"/>
          <w:lang w:val="zh-CN"/>
        </w:rPr>
        <w:t>岁儿童为</w:t>
      </w:r>
      <w:r>
        <w:rPr>
          <w:rFonts w:hint="default" w:ascii="Times New Roman" w:hAnsi="Times New Roman" w:eastAsia="Times New Roman"/>
          <w:color w:val="auto"/>
          <w:sz w:val="32"/>
          <w:lang w:val="en-US"/>
        </w:rPr>
        <w:t>14.5%</w:t>
      </w:r>
      <w:r>
        <w:rPr>
          <w:rFonts w:hint="eastAsia" w:ascii="宋体" w:hAnsi="宋体"/>
          <w:color w:val="auto"/>
          <w:sz w:val="32"/>
          <w:lang w:val="zh-CN"/>
        </w:rPr>
        <w:t>，小学生为</w:t>
      </w:r>
      <w:r>
        <w:rPr>
          <w:rFonts w:hint="default" w:ascii="Times New Roman" w:hAnsi="Times New Roman" w:eastAsia="Times New Roman"/>
          <w:color w:val="auto"/>
          <w:sz w:val="32"/>
          <w:lang w:val="en-US"/>
        </w:rPr>
        <w:t>36.0%</w:t>
      </w:r>
      <w:r>
        <w:rPr>
          <w:rFonts w:hint="eastAsia" w:ascii="宋体" w:hAnsi="宋体"/>
          <w:color w:val="auto"/>
          <w:sz w:val="32"/>
          <w:lang w:val="zh-CN"/>
        </w:rPr>
        <w:t>，初中生为</w:t>
      </w:r>
      <w:r>
        <w:rPr>
          <w:rFonts w:hint="default" w:ascii="Times New Roman" w:hAnsi="Times New Roman" w:eastAsia="Times New Roman"/>
          <w:color w:val="auto"/>
          <w:sz w:val="32"/>
          <w:lang w:val="en-US"/>
        </w:rPr>
        <w:t>71.6%</w:t>
      </w:r>
      <w:r>
        <w:rPr>
          <w:rFonts w:hint="eastAsia" w:ascii="宋体" w:hAnsi="宋体"/>
          <w:color w:val="auto"/>
          <w:sz w:val="32"/>
          <w:lang w:val="zh-CN"/>
        </w:rPr>
        <w:t>，高中生为</w:t>
      </w:r>
      <w:r>
        <w:rPr>
          <w:rFonts w:hint="default" w:ascii="Times New Roman" w:hAnsi="Times New Roman" w:eastAsia="Times New Roman"/>
          <w:color w:val="auto"/>
          <w:sz w:val="32"/>
          <w:lang w:val="en-US"/>
        </w:rPr>
        <w:t>81.0%</w:t>
      </w:r>
      <w:r>
        <w:rPr>
          <w:rFonts w:hint="eastAsia" w:ascii="宋体" w:hAnsi="宋体"/>
          <w:color w:val="auto"/>
          <w:sz w:val="32"/>
          <w:lang w:val="zh-CN"/>
        </w:rPr>
        <w:t>。中小学生肥胖、近视等健康问题突出。</w:t>
      </w:r>
    </w:p>
    <w:p>
      <w:pPr>
        <w:spacing w:beforeLines="0" w:afterLines="0" w:line="600" w:lineRule="atLeast"/>
        <w:ind w:firstLine="640"/>
        <w:rPr>
          <w:rFonts w:hint="default" w:ascii="Times New Roman" w:hAnsi="Times New Roman" w:eastAsia="Times New Roman"/>
          <w:color w:val="auto"/>
          <w:sz w:val="32"/>
          <w:lang w:val="en-US"/>
        </w:rPr>
      </w:pPr>
      <w:r>
        <w:rPr>
          <w:rFonts w:hint="eastAsia" w:ascii="宋体" w:hAnsi="宋体"/>
          <w:color w:val="auto"/>
          <w:sz w:val="32"/>
          <w:lang w:val="zh-CN"/>
        </w:rPr>
        <w:t>此外，随着成长发育，中小学生自我意识逐渐增强，认知、情感、意志、个性发展逐渐成熟，人生观、世界观、价值观逐渐形成。因此，在此期间有效保护、积极促进其身心健康成长意义重大。</w:t>
      </w:r>
    </w:p>
    <w:p>
      <w:pPr>
        <w:spacing w:beforeLines="0" w:afterLines="0" w:line="600" w:lineRule="atLeast"/>
        <w:ind w:firstLine="640"/>
        <w:rPr>
          <w:rFonts w:hint="default" w:ascii="Times New Roman" w:hAnsi="Times New Roman" w:eastAsia="Times New Roman"/>
          <w:color w:val="auto"/>
          <w:sz w:val="32"/>
          <w:lang w:val="en-US"/>
        </w:rPr>
      </w:pPr>
      <w:r>
        <w:rPr>
          <w:rFonts w:hint="eastAsia" w:ascii="宋体" w:hAnsi="宋体"/>
          <w:color w:val="auto"/>
          <w:sz w:val="32"/>
          <w:lang w:val="zh-CN"/>
        </w:rPr>
        <w:t>行动目标：</w:t>
      </w:r>
    </w:p>
    <w:p>
      <w:pPr>
        <w:spacing w:beforeLines="0" w:afterLines="0" w:line="600" w:lineRule="atLeast"/>
        <w:ind w:firstLine="640"/>
        <w:rPr>
          <w:rFonts w:hint="default" w:ascii="Times New Roman" w:hAnsi="Times New Roman" w:eastAsia="Times New Roman"/>
          <w:color w:val="auto"/>
          <w:sz w:val="32"/>
          <w:lang w:val="en-US"/>
        </w:rPr>
      </w:pPr>
      <w:r>
        <w:rPr>
          <w:rFonts w:hint="eastAsia" w:ascii="宋体" w:hAnsi="宋体"/>
          <w:color w:val="auto"/>
          <w:sz w:val="32"/>
          <w:lang w:val="zh-CN"/>
        </w:rPr>
        <w:t>到</w:t>
      </w:r>
      <w:r>
        <w:rPr>
          <w:rFonts w:hint="default" w:ascii="Times New Roman" w:hAnsi="Times New Roman" w:eastAsia="Times New Roman"/>
          <w:color w:val="auto"/>
          <w:sz w:val="32"/>
          <w:lang w:val="en-US"/>
        </w:rPr>
        <w:t>2022</w:t>
      </w:r>
      <w:r>
        <w:rPr>
          <w:rFonts w:hint="eastAsia" w:ascii="宋体" w:hAnsi="宋体"/>
          <w:color w:val="auto"/>
          <w:sz w:val="32"/>
          <w:lang w:val="zh-CN"/>
        </w:rPr>
        <w:t>年和</w:t>
      </w:r>
      <w:r>
        <w:rPr>
          <w:rFonts w:hint="default" w:ascii="Times New Roman" w:hAnsi="Times New Roman" w:eastAsia="Times New Roman"/>
          <w:color w:val="auto"/>
          <w:sz w:val="32"/>
          <w:lang w:val="en-US"/>
        </w:rPr>
        <w:t>2030</w:t>
      </w:r>
      <w:r>
        <w:rPr>
          <w:rFonts w:hint="eastAsia" w:ascii="宋体" w:hAnsi="宋体"/>
          <w:color w:val="auto"/>
          <w:sz w:val="32"/>
          <w:lang w:val="zh-CN"/>
        </w:rPr>
        <w:t>年，国家学生体质健康标准达标优良率分别达到</w:t>
      </w:r>
      <w:r>
        <w:rPr>
          <w:rFonts w:hint="default" w:ascii="Times New Roman" w:hAnsi="Times New Roman" w:eastAsia="Times New Roman"/>
          <w:color w:val="auto"/>
          <w:sz w:val="32"/>
          <w:lang w:val="en-US"/>
        </w:rPr>
        <w:t>50%</w:t>
      </w:r>
      <w:r>
        <w:rPr>
          <w:rFonts w:hint="eastAsia" w:ascii="宋体" w:hAnsi="宋体"/>
          <w:color w:val="auto"/>
          <w:sz w:val="32"/>
          <w:lang w:val="zh-CN"/>
        </w:rPr>
        <w:t>及以上和</w:t>
      </w:r>
      <w:r>
        <w:rPr>
          <w:rFonts w:hint="default" w:ascii="Times New Roman" w:hAnsi="Times New Roman" w:eastAsia="Times New Roman"/>
          <w:color w:val="auto"/>
          <w:sz w:val="32"/>
          <w:lang w:val="en-US"/>
        </w:rPr>
        <w:t>60%</w:t>
      </w:r>
      <w:r>
        <w:rPr>
          <w:rFonts w:hint="eastAsia" w:ascii="宋体" w:hAnsi="宋体"/>
          <w:color w:val="auto"/>
          <w:sz w:val="32"/>
          <w:lang w:val="zh-CN"/>
        </w:rPr>
        <w:t>及以上；全国儿童青少年总体近视率力争每年降低</w:t>
      </w:r>
      <w:r>
        <w:rPr>
          <w:rFonts w:hint="default" w:ascii="Times New Roman" w:hAnsi="Times New Roman" w:eastAsia="Times New Roman"/>
          <w:color w:val="auto"/>
          <w:sz w:val="32"/>
          <w:lang w:val="en-US"/>
        </w:rPr>
        <w:t>0.5</w:t>
      </w:r>
      <w:r>
        <w:rPr>
          <w:rFonts w:hint="eastAsia" w:ascii="宋体" w:hAnsi="宋体"/>
          <w:color w:val="auto"/>
          <w:sz w:val="32"/>
          <w:lang w:val="zh-CN"/>
        </w:rPr>
        <w:t>个百分点以上和新发近视率明显</w:t>
      </w:r>
      <w:r>
        <w:rPr>
          <w:rFonts w:hint="default" w:ascii="Times New Roman" w:hAnsi="Times New Roman" w:eastAsia="Times New Roman"/>
          <w:color w:val="auto"/>
          <w:sz w:val="32"/>
          <w:lang w:val="en-US"/>
        </w:rPr>
        <w:t xml:space="preserve">                          </w:t>
      </w:r>
      <w:r>
        <w:rPr>
          <w:rFonts w:hint="eastAsia" w:ascii="宋体" w:hAnsi="宋体"/>
          <w:color w:val="auto"/>
          <w:sz w:val="32"/>
          <w:lang w:val="zh-CN"/>
        </w:rPr>
        <w:t>下降；小学生近视率下降到</w:t>
      </w:r>
      <w:r>
        <w:rPr>
          <w:rFonts w:hint="default" w:ascii="Times New Roman" w:hAnsi="Times New Roman" w:eastAsia="Times New Roman"/>
          <w:color w:val="auto"/>
          <w:sz w:val="32"/>
          <w:lang w:val="en-US"/>
        </w:rPr>
        <w:t>38%</w:t>
      </w:r>
      <w:r>
        <w:rPr>
          <w:rFonts w:hint="eastAsia" w:ascii="宋体" w:hAnsi="宋体"/>
          <w:color w:val="auto"/>
          <w:sz w:val="32"/>
          <w:lang w:val="zh-CN"/>
        </w:rPr>
        <w:t>以下；符合要求的中小学体育与健康课程开课率达到</w:t>
      </w:r>
      <w:r>
        <w:rPr>
          <w:rFonts w:hint="default" w:ascii="Times New Roman" w:hAnsi="Times New Roman" w:eastAsia="Times New Roman"/>
          <w:color w:val="auto"/>
          <w:sz w:val="32"/>
          <w:lang w:val="en-US"/>
        </w:rPr>
        <w:t>100%</w:t>
      </w:r>
      <w:r>
        <w:rPr>
          <w:rFonts w:hint="eastAsia" w:ascii="宋体" w:hAnsi="宋体"/>
          <w:color w:val="auto"/>
          <w:sz w:val="32"/>
          <w:lang w:val="zh-CN"/>
        </w:rPr>
        <w:t>；中小学生每天校内体育活动时间不少于</w:t>
      </w:r>
      <w:r>
        <w:rPr>
          <w:rFonts w:hint="default" w:ascii="Times New Roman" w:hAnsi="Times New Roman" w:eastAsia="Times New Roman"/>
          <w:color w:val="auto"/>
          <w:sz w:val="32"/>
          <w:lang w:val="en-US"/>
        </w:rPr>
        <w:t>1</w:t>
      </w:r>
      <w:r>
        <w:rPr>
          <w:rFonts w:hint="eastAsia" w:ascii="宋体" w:hAnsi="宋体"/>
          <w:color w:val="auto"/>
          <w:sz w:val="32"/>
          <w:lang w:val="zh-CN"/>
        </w:rPr>
        <w:t>小时；学校眼保健操普及率达到</w:t>
      </w:r>
      <w:r>
        <w:rPr>
          <w:rFonts w:hint="default" w:ascii="Times New Roman" w:hAnsi="Times New Roman" w:eastAsia="Times New Roman"/>
          <w:color w:val="auto"/>
          <w:sz w:val="32"/>
          <w:lang w:val="en-US"/>
        </w:rPr>
        <w:t>100%</w:t>
      </w:r>
      <w:r>
        <w:rPr>
          <w:rFonts w:hint="eastAsia" w:ascii="宋体" w:hAnsi="宋体"/>
          <w:color w:val="auto"/>
          <w:sz w:val="32"/>
          <w:lang w:val="zh-CN"/>
        </w:rPr>
        <w:t>；寄宿制中小学校或</w:t>
      </w:r>
      <w:r>
        <w:rPr>
          <w:rFonts w:hint="default" w:ascii="Times New Roman" w:hAnsi="Times New Roman" w:eastAsia="Times New Roman"/>
          <w:color w:val="auto"/>
          <w:sz w:val="32"/>
          <w:lang w:val="en-US"/>
        </w:rPr>
        <w:t>600</w:t>
      </w:r>
      <w:r>
        <w:rPr>
          <w:rFonts w:hint="eastAsia" w:ascii="宋体" w:hAnsi="宋体"/>
          <w:color w:val="auto"/>
          <w:sz w:val="32"/>
          <w:lang w:val="zh-CN"/>
        </w:rPr>
        <w:t>名学生以上的非寄宿制中小学校配备专职卫生专业技术人员、</w:t>
      </w:r>
      <w:r>
        <w:rPr>
          <w:rFonts w:hint="default" w:ascii="Times New Roman" w:hAnsi="Times New Roman" w:eastAsia="Times New Roman"/>
          <w:color w:val="auto"/>
          <w:sz w:val="32"/>
          <w:lang w:val="en-US"/>
        </w:rPr>
        <w:t>600</w:t>
      </w:r>
      <w:r>
        <w:rPr>
          <w:rFonts w:hint="eastAsia" w:ascii="宋体" w:hAnsi="宋体"/>
          <w:color w:val="auto"/>
          <w:sz w:val="32"/>
          <w:lang w:val="zh-CN"/>
        </w:rPr>
        <w:t>名学生以下的非寄宿制中小学校配备专兼职保健教师或卫生专业技术人员的比例分别达到</w:t>
      </w:r>
      <w:r>
        <w:rPr>
          <w:rFonts w:hint="default" w:ascii="Times New Roman" w:hAnsi="Times New Roman" w:eastAsia="Times New Roman"/>
          <w:color w:val="auto"/>
          <w:sz w:val="32"/>
          <w:lang w:val="en-US"/>
        </w:rPr>
        <w:t>70%</w:t>
      </w:r>
      <w:r>
        <w:rPr>
          <w:rFonts w:hint="eastAsia" w:ascii="宋体" w:hAnsi="宋体"/>
          <w:color w:val="auto"/>
          <w:sz w:val="32"/>
          <w:lang w:val="zh-CN"/>
        </w:rPr>
        <w:t>及以上和</w:t>
      </w:r>
      <w:r>
        <w:rPr>
          <w:rFonts w:hint="default" w:ascii="Times New Roman" w:hAnsi="Times New Roman" w:eastAsia="Times New Roman"/>
          <w:color w:val="auto"/>
          <w:sz w:val="32"/>
          <w:lang w:val="en-US"/>
        </w:rPr>
        <w:t>90%</w:t>
      </w:r>
      <w:r>
        <w:rPr>
          <w:rFonts w:hint="eastAsia" w:ascii="宋体" w:hAnsi="宋体"/>
          <w:color w:val="auto"/>
          <w:sz w:val="32"/>
          <w:lang w:val="zh-CN"/>
        </w:rPr>
        <w:t>及以上；未配齐卫生专业技术人员的学校应由当地政府统一建立基层医疗卫生机构包片制度，实现中小学校全覆盖；配备专兼职心理健康工作人员的中小学校比例分别达到</w:t>
      </w:r>
      <w:r>
        <w:rPr>
          <w:rFonts w:hint="default" w:ascii="Times New Roman" w:hAnsi="Times New Roman" w:eastAsia="Times New Roman"/>
          <w:color w:val="auto"/>
          <w:sz w:val="32"/>
          <w:lang w:val="en-US"/>
        </w:rPr>
        <w:t>80%</w:t>
      </w:r>
      <w:r>
        <w:rPr>
          <w:rFonts w:hint="eastAsia" w:ascii="宋体" w:hAnsi="宋体"/>
          <w:color w:val="auto"/>
          <w:sz w:val="32"/>
          <w:lang w:val="zh-CN"/>
        </w:rPr>
        <w:t>以上和</w:t>
      </w:r>
      <w:r>
        <w:rPr>
          <w:rFonts w:hint="default" w:ascii="Times New Roman" w:hAnsi="Times New Roman" w:eastAsia="Times New Roman"/>
          <w:color w:val="auto"/>
          <w:sz w:val="32"/>
          <w:lang w:val="en-US"/>
        </w:rPr>
        <w:t>90%</w:t>
      </w:r>
      <w:r>
        <w:rPr>
          <w:rFonts w:hint="eastAsia" w:ascii="宋体" w:hAnsi="宋体"/>
          <w:color w:val="auto"/>
          <w:sz w:val="32"/>
          <w:lang w:val="zh-CN"/>
        </w:rPr>
        <w:t>以上；将学生体质健康情况纳入对学校绩效考核，与学校负责人奖惩挂钩，将高中体育科目纳入高中学业水平测试或高考综合评价体系；鼓励高校探索在特殊类型招生中增设体育科目测试。</w:t>
      </w:r>
    </w:p>
    <w:p>
      <w:pPr>
        <w:spacing w:beforeLines="0" w:afterLines="0" w:line="600" w:lineRule="atLeast"/>
        <w:ind w:firstLine="640"/>
        <w:rPr>
          <w:rFonts w:hint="default" w:ascii="Times New Roman" w:hAnsi="Times New Roman" w:eastAsia="Times New Roman"/>
          <w:color w:val="auto"/>
          <w:sz w:val="32"/>
          <w:lang w:val="en-US"/>
        </w:rPr>
      </w:pPr>
      <w:r>
        <w:rPr>
          <w:rFonts w:hint="eastAsia" w:ascii="宋体" w:hAnsi="宋体"/>
          <w:color w:val="auto"/>
          <w:sz w:val="32"/>
          <w:lang w:val="zh-CN"/>
        </w:rPr>
        <w:t>提倡中小学生每天在校外接触自然光时间</w:t>
      </w:r>
      <w:r>
        <w:rPr>
          <w:rFonts w:hint="default" w:ascii="Times New Roman" w:hAnsi="Times New Roman" w:eastAsia="Times New Roman"/>
          <w:color w:val="auto"/>
          <w:sz w:val="32"/>
          <w:lang w:val="en-US"/>
        </w:rPr>
        <w:t>1</w:t>
      </w:r>
      <w:r>
        <w:rPr>
          <w:rFonts w:hint="eastAsia" w:ascii="宋体" w:hAnsi="宋体"/>
          <w:color w:val="auto"/>
          <w:sz w:val="32"/>
          <w:lang w:val="zh-CN"/>
        </w:rPr>
        <w:t>小时以上；小学生、初中生、高中生每天睡眠时间分别不少于</w:t>
      </w:r>
      <w:r>
        <w:rPr>
          <w:rFonts w:hint="default" w:ascii="Times New Roman" w:hAnsi="Times New Roman" w:eastAsia="Times New Roman"/>
          <w:color w:val="auto"/>
          <w:sz w:val="32"/>
          <w:lang w:val="en-US"/>
        </w:rPr>
        <w:t>10</w:t>
      </w:r>
      <w:r>
        <w:rPr>
          <w:rFonts w:hint="eastAsia" w:ascii="宋体" w:hAnsi="宋体"/>
          <w:color w:val="auto"/>
          <w:sz w:val="32"/>
          <w:lang w:val="zh-CN"/>
        </w:rPr>
        <w:t>、</w:t>
      </w:r>
      <w:r>
        <w:rPr>
          <w:rFonts w:hint="default" w:ascii="Times New Roman" w:hAnsi="Times New Roman" w:eastAsia="Times New Roman"/>
          <w:color w:val="auto"/>
          <w:sz w:val="32"/>
          <w:lang w:val="en-US"/>
        </w:rPr>
        <w:t>9</w:t>
      </w:r>
      <w:r>
        <w:rPr>
          <w:rFonts w:hint="eastAsia" w:ascii="宋体" w:hAnsi="宋体"/>
          <w:color w:val="auto"/>
          <w:sz w:val="32"/>
          <w:lang w:val="zh-CN"/>
        </w:rPr>
        <w:t>、</w:t>
      </w:r>
      <w:r>
        <w:rPr>
          <w:rFonts w:hint="default" w:ascii="Times New Roman" w:hAnsi="Times New Roman" w:eastAsia="Times New Roman"/>
          <w:color w:val="auto"/>
          <w:sz w:val="32"/>
          <w:lang w:val="en-US"/>
        </w:rPr>
        <w:t>8</w:t>
      </w:r>
      <w:r>
        <w:rPr>
          <w:rFonts w:hint="eastAsia" w:ascii="宋体" w:hAnsi="宋体"/>
          <w:color w:val="auto"/>
          <w:sz w:val="32"/>
          <w:lang w:val="zh-CN"/>
        </w:rPr>
        <w:t>个小时；中小学生非学习目的使用电子屏幕产品单次不宜超过</w:t>
      </w:r>
      <w:r>
        <w:rPr>
          <w:rFonts w:hint="default" w:ascii="Times New Roman" w:hAnsi="Times New Roman" w:eastAsia="Times New Roman"/>
          <w:color w:val="auto"/>
          <w:sz w:val="32"/>
          <w:lang w:val="en-US"/>
        </w:rPr>
        <w:t>15</w:t>
      </w:r>
      <w:r>
        <w:rPr>
          <w:rFonts w:hint="eastAsia" w:ascii="宋体" w:hAnsi="宋体"/>
          <w:color w:val="auto"/>
          <w:sz w:val="32"/>
          <w:lang w:val="zh-CN"/>
        </w:rPr>
        <w:t>分钟，每天累计不宜超过</w:t>
      </w:r>
      <w:r>
        <w:rPr>
          <w:rFonts w:hint="default" w:ascii="Times New Roman" w:hAnsi="Times New Roman" w:eastAsia="Times New Roman"/>
          <w:color w:val="auto"/>
          <w:sz w:val="32"/>
          <w:lang w:val="en-US"/>
        </w:rPr>
        <w:t>1</w:t>
      </w:r>
      <w:r>
        <w:rPr>
          <w:rFonts w:hint="eastAsia" w:ascii="宋体" w:hAnsi="宋体"/>
          <w:color w:val="auto"/>
          <w:sz w:val="32"/>
          <w:lang w:val="zh-CN"/>
        </w:rPr>
        <w:t>小时；学校鼓励引导学生达到《国家学生体质健康标准》良好及以上水平。</w:t>
      </w:r>
    </w:p>
    <w:p>
      <w:pPr>
        <w:spacing w:beforeLines="0" w:afterLines="0" w:line="600" w:lineRule="atLeast"/>
        <w:ind w:firstLine="643"/>
        <w:rPr>
          <w:rFonts w:hint="default" w:ascii="Times New Roman" w:hAnsi="Times New Roman" w:eastAsia="Times New Roman"/>
          <w:b/>
          <w:color w:val="auto"/>
          <w:sz w:val="32"/>
          <w:lang w:val="en-US"/>
        </w:rPr>
      </w:pPr>
      <w:r>
        <w:rPr>
          <w:rFonts w:hint="default" w:ascii="宋体" w:hAnsi="宋体"/>
          <w:b/>
          <w:color w:val="auto"/>
          <w:sz w:val="32"/>
          <w:lang w:val="zh-CN"/>
        </w:rPr>
        <w:t>——</w:t>
      </w:r>
      <w:r>
        <w:rPr>
          <w:rFonts w:hint="eastAsia" w:ascii="宋体" w:hAnsi="宋体"/>
          <w:b/>
          <w:color w:val="auto"/>
          <w:sz w:val="32"/>
          <w:lang w:val="zh-CN"/>
        </w:rPr>
        <w:t>个人：</w:t>
      </w:r>
    </w:p>
    <w:p>
      <w:pPr>
        <w:spacing w:beforeLines="0" w:afterLines="0" w:line="600" w:lineRule="atLeast"/>
        <w:ind w:firstLine="640"/>
        <w:rPr>
          <w:rFonts w:hint="default" w:ascii="Times New Roman" w:hAnsi="Times New Roman" w:eastAsia="Times New Roman"/>
          <w:color w:val="auto"/>
          <w:sz w:val="32"/>
          <w:lang w:val="en-US"/>
        </w:rPr>
      </w:pPr>
      <w:r>
        <w:rPr>
          <w:rFonts w:hint="eastAsia" w:ascii="宋体" w:hAnsi="宋体"/>
          <w:color w:val="auto"/>
          <w:sz w:val="32"/>
          <w:lang w:val="zh-CN"/>
        </w:rPr>
        <w:t>科学运动。保证充足的体育活动，减少久坐和视屏（观看电视，使用电脑、手机等）时间。课间休息，要离开座位适量活动。每天累计至少</w:t>
      </w:r>
      <w:r>
        <w:rPr>
          <w:rFonts w:hint="default" w:ascii="Times New Roman" w:hAnsi="Times New Roman" w:eastAsia="Times New Roman"/>
          <w:color w:val="auto"/>
          <w:sz w:val="32"/>
          <w:lang w:val="en-US"/>
        </w:rPr>
        <w:t>1</w:t>
      </w:r>
      <w:r>
        <w:rPr>
          <w:rFonts w:hint="eastAsia" w:ascii="宋体" w:hAnsi="宋体"/>
          <w:color w:val="auto"/>
          <w:sz w:val="32"/>
          <w:lang w:val="zh-CN"/>
        </w:rPr>
        <w:t>小时中等强度及以上的运动，培养终身运动的习惯。</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2.</w:t>
      </w:r>
      <w:r>
        <w:rPr>
          <w:rFonts w:hint="eastAsia" w:ascii="宋体" w:hAnsi="宋体"/>
          <w:color w:val="auto"/>
          <w:sz w:val="32"/>
          <w:lang w:val="zh-CN"/>
        </w:rPr>
        <w:t>注意用眼卫生。主动学习掌握科学用眼护眼等健康知识，养成健康用眼习惯。保持正确读写姿势。握笔的指尖离笔尖一寸、胸部离桌子一拳，书本离眼一尺，保持读写坐姿端正。读写要在采光良好、照明充足的环境中进行。白天学习时，充分利用自然光线照明，避免光线直射在桌面上。晚上学习时，同时打开台灯和房间大灯。读写连续用眼时间不宜超过</w:t>
      </w:r>
      <w:r>
        <w:rPr>
          <w:rFonts w:hint="default" w:ascii="Times New Roman" w:hAnsi="Times New Roman" w:eastAsia="Times New Roman"/>
          <w:color w:val="auto"/>
          <w:sz w:val="32"/>
          <w:lang w:val="en-US"/>
        </w:rPr>
        <w:t>40</w:t>
      </w:r>
      <w:r>
        <w:rPr>
          <w:rFonts w:hint="eastAsia" w:ascii="宋体" w:hAnsi="宋体"/>
          <w:color w:val="auto"/>
          <w:sz w:val="32"/>
          <w:lang w:val="zh-CN"/>
        </w:rPr>
        <w:t>分钟。自觉减少电子屏幕产品使用。避免不良用眼行为，不在走路、吃饭、躺卧时，晃动的车厢内，光线暗弱或阳光直射下看书或使用电子屏幕产品。自我感觉视力发生明显变化时，及时告知家长和教师，尽早到眼科医疗机构检查和治疗。</w:t>
      </w:r>
    </w:p>
    <w:p>
      <w:pPr>
        <w:spacing w:beforeLines="0" w:afterLines="0" w:line="600" w:lineRule="atLeast"/>
        <w:ind w:firstLine="640"/>
        <w:rPr>
          <w:rFonts w:hint="default" w:ascii="Times New Roman" w:hAnsi="Times New Roman" w:eastAsia="Times New Roman"/>
          <w:color w:val="auto"/>
          <w:sz w:val="32"/>
          <w:lang w:val="en-US"/>
        </w:rPr>
      </w:pPr>
      <w:r>
        <w:rPr>
          <w:rFonts w:hint="eastAsia" w:ascii="宋体" w:hAnsi="宋体"/>
          <w:color w:val="auto"/>
          <w:sz w:val="32"/>
          <w:lang w:val="zh-CN"/>
        </w:rPr>
        <w:t>保持健康体重。学会选择食物和合理搭配食物的生活技能。每天吃早餐，合理选择零食，在两餐之间可选择适量水果、坚果或酸奶等食物作为零食。足量饮水，首选白开水，少喝或不喝含糖饮料。自我监测身高、体重等生长发育指标，及早发现、科学判断是否出现超重、肥胖等健康问题。</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4.</w:t>
      </w:r>
      <w:r>
        <w:rPr>
          <w:rFonts w:hint="eastAsia" w:ascii="宋体" w:hAnsi="宋体"/>
          <w:color w:val="auto"/>
          <w:sz w:val="32"/>
          <w:lang w:val="zh-CN"/>
        </w:rPr>
        <w:t>了解传染病防控知识，增强体质，预防传染病，特别是预防常见呼吸道传染病。</w:t>
      </w:r>
    </w:p>
    <w:p>
      <w:pPr>
        <w:spacing w:beforeLines="0" w:afterLines="0" w:line="600" w:lineRule="atLeast"/>
        <w:ind w:firstLine="640"/>
        <w:rPr>
          <w:rFonts w:hint="default" w:ascii="Times New Roman" w:hAnsi="Times New Roman" w:eastAsia="Times New Roman"/>
          <w:color w:val="auto"/>
          <w:sz w:val="32"/>
          <w:lang w:val="en-US"/>
        </w:rPr>
      </w:pPr>
      <w:r>
        <w:rPr>
          <w:rFonts w:hint="eastAsia" w:ascii="宋体" w:hAnsi="宋体"/>
          <w:color w:val="auto"/>
          <w:sz w:val="32"/>
          <w:lang w:val="zh-CN"/>
        </w:rPr>
        <w:t>掌握科学的应对方法，促进心理健康。保持积极向上的健康心理状态，积极参加文体活动和社会实践。了解不良情绪对健康的影响，掌握调控情绪的基本方法。正确认识心理问题，学会积极暗示，适当宣泄，可以通过深呼吸或找朋友倾诉、写日记、画画、踢球等方式，将心中郁积的不良情绪如痛苦、委屈、愤怒等发泄出去，可向父母、老师、朋友等寻求帮助，还可主动接受心理辅导（心理咨询与治疗等）。</w:t>
      </w:r>
    </w:p>
    <w:p>
      <w:pPr>
        <w:spacing w:beforeLines="0" w:afterLines="0" w:line="600" w:lineRule="atLeast"/>
        <w:ind w:firstLine="640"/>
        <w:rPr>
          <w:rFonts w:hint="default" w:ascii="Times New Roman" w:hAnsi="Times New Roman" w:eastAsia="Times New Roman"/>
          <w:color w:val="auto"/>
          <w:sz w:val="32"/>
          <w:lang w:val="en-US"/>
        </w:rPr>
      </w:pPr>
      <w:r>
        <w:rPr>
          <w:rFonts w:hint="eastAsia" w:ascii="宋体" w:hAnsi="宋体"/>
          <w:color w:val="auto"/>
          <w:sz w:val="32"/>
          <w:lang w:val="zh-CN"/>
        </w:rPr>
        <w:t>合理、安全使用网络，增强对互联网信息的辨别力，主动控制上网时间，抵制网络成瘾。</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7.</w:t>
      </w:r>
      <w:r>
        <w:rPr>
          <w:rFonts w:hint="eastAsia" w:ascii="宋体" w:hAnsi="宋体"/>
          <w:color w:val="auto"/>
          <w:sz w:val="32"/>
          <w:lang w:val="zh-CN"/>
        </w:rPr>
        <w:t>保证充足的睡眠，不熬夜。科学用耳、注意保护听力。早晚刷牙、饭后漱口，采用正确的刷牙方法，每次刷牙不少于</w:t>
      </w:r>
      <w:r>
        <w:rPr>
          <w:rFonts w:hint="default" w:ascii="Times New Roman" w:hAnsi="Times New Roman" w:eastAsia="Times New Roman"/>
          <w:color w:val="auto"/>
          <w:sz w:val="32"/>
          <w:lang w:val="en-US"/>
        </w:rPr>
        <w:t>2</w:t>
      </w:r>
      <w:r>
        <w:rPr>
          <w:rFonts w:hint="eastAsia" w:ascii="宋体" w:hAnsi="宋体"/>
          <w:color w:val="auto"/>
          <w:sz w:val="32"/>
          <w:lang w:val="zh-CN"/>
        </w:rPr>
        <w:t>分钟。发生龋齿及时提醒家长陪同就医。不吸烟，拒吸二手烟，帮助家长戒烟。增强自身安全防范意识，掌握伤害防范的知识与技能，预防交通伤害、校园暴力伤害、溺水、性骚扰性侵害等。远离不安全性行为。不以任何理由尝试毒品。</w:t>
      </w:r>
    </w:p>
    <w:p>
      <w:pPr>
        <w:spacing w:beforeLines="0" w:afterLines="0" w:line="600" w:lineRule="atLeast"/>
        <w:ind w:firstLine="643"/>
        <w:rPr>
          <w:rFonts w:hint="default" w:ascii="Times New Roman" w:hAnsi="Times New Roman" w:eastAsia="Times New Roman"/>
          <w:b/>
          <w:color w:val="auto"/>
          <w:sz w:val="32"/>
          <w:lang w:val="en-US"/>
        </w:rPr>
      </w:pPr>
      <w:r>
        <w:rPr>
          <w:rFonts w:hint="default" w:ascii="宋体" w:hAnsi="宋体"/>
          <w:b/>
          <w:color w:val="auto"/>
          <w:sz w:val="32"/>
          <w:lang w:val="zh-CN"/>
        </w:rPr>
        <w:t>——</w:t>
      </w:r>
      <w:r>
        <w:rPr>
          <w:rFonts w:hint="eastAsia" w:ascii="宋体" w:hAnsi="宋体"/>
          <w:b/>
          <w:color w:val="auto"/>
          <w:sz w:val="32"/>
          <w:lang w:val="zh-CN"/>
        </w:rPr>
        <w:t>家庭：</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1.</w:t>
      </w:r>
      <w:r>
        <w:rPr>
          <w:rFonts w:hint="eastAsia" w:ascii="宋体" w:hAnsi="宋体"/>
          <w:color w:val="auto"/>
          <w:sz w:val="32"/>
          <w:lang w:val="zh-CN"/>
        </w:rPr>
        <w:t>通过亲子读书、参与讲座等多种方式给予孩子健康知识，以身作则，带动和帮助孩子形成良好健康行为，合理饮食，规律作息，每天锻炼。</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2.</w:t>
      </w:r>
      <w:r>
        <w:rPr>
          <w:rFonts w:hint="eastAsia" w:ascii="宋体" w:hAnsi="宋体"/>
          <w:color w:val="auto"/>
          <w:sz w:val="32"/>
          <w:lang w:val="zh-CN"/>
        </w:rPr>
        <w:t>注重教养方式方法，既不溺爱孩子，也不粗暴对待孩子。做孩子的倾听者，帮助孩子正确面对问题、处理问题，关注孩子的心理健康。</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3.</w:t>
      </w:r>
      <w:r>
        <w:rPr>
          <w:rFonts w:hint="eastAsia" w:ascii="宋体" w:hAnsi="宋体"/>
          <w:color w:val="auto"/>
          <w:sz w:val="32"/>
          <w:lang w:val="zh-CN"/>
        </w:rPr>
        <w:t>保障孩子睡眠时间，确保小学生每天睡眠</w:t>
      </w:r>
      <w:r>
        <w:rPr>
          <w:rFonts w:hint="default" w:ascii="Times New Roman" w:hAnsi="Times New Roman" w:eastAsia="Times New Roman"/>
          <w:color w:val="auto"/>
          <w:sz w:val="32"/>
          <w:lang w:val="en-US"/>
        </w:rPr>
        <w:t>10</w:t>
      </w:r>
      <w:r>
        <w:rPr>
          <w:rFonts w:hint="eastAsia" w:ascii="宋体" w:hAnsi="宋体"/>
          <w:color w:val="auto"/>
          <w:sz w:val="32"/>
          <w:lang w:val="zh-CN"/>
        </w:rPr>
        <w:t>个小时、初中生</w:t>
      </w:r>
      <w:r>
        <w:rPr>
          <w:rFonts w:hint="default" w:ascii="Times New Roman" w:hAnsi="Times New Roman" w:eastAsia="Times New Roman"/>
          <w:color w:val="auto"/>
          <w:sz w:val="32"/>
          <w:lang w:val="en-US"/>
        </w:rPr>
        <w:t>9</w:t>
      </w:r>
      <w:r>
        <w:rPr>
          <w:rFonts w:hint="eastAsia" w:ascii="宋体" w:hAnsi="宋体"/>
          <w:color w:val="auto"/>
          <w:sz w:val="32"/>
          <w:lang w:val="zh-CN"/>
        </w:rPr>
        <w:t>个小时、高中生</w:t>
      </w:r>
      <w:r>
        <w:rPr>
          <w:rFonts w:hint="default" w:ascii="Times New Roman" w:hAnsi="Times New Roman" w:eastAsia="Times New Roman"/>
          <w:color w:val="auto"/>
          <w:sz w:val="32"/>
          <w:lang w:val="en-US"/>
        </w:rPr>
        <w:t>8</w:t>
      </w:r>
      <w:r>
        <w:rPr>
          <w:rFonts w:hint="eastAsia" w:ascii="宋体" w:hAnsi="宋体"/>
          <w:color w:val="auto"/>
          <w:sz w:val="32"/>
          <w:lang w:val="zh-CN"/>
        </w:rPr>
        <w:t>个小时，减少孩子近距离用眼和看电子屏幕时间。</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4.</w:t>
      </w:r>
      <w:r>
        <w:rPr>
          <w:rFonts w:hint="eastAsia" w:ascii="宋体" w:hAnsi="宋体"/>
          <w:color w:val="auto"/>
          <w:sz w:val="32"/>
          <w:lang w:val="zh-CN"/>
        </w:rPr>
        <w:t>营造良好的家庭体育运动氛围，积极引导孩子进行户外活动或体育锻炼，确保孩子每天在校外接触自然光的时间达到</w:t>
      </w:r>
      <w:r>
        <w:rPr>
          <w:rFonts w:hint="default" w:ascii="Times New Roman" w:hAnsi="Times New Roman" w:eastAsia="Times New Roman"/>
          <w:color w:val="auto"/>
          <w:sz w:val="32"/>
          <w:lang w:val="en-US"/>
        </w:rPr>
        <w:t>1</w:t>
      </w:r>
      <w:r>
        <w:rPr>
          <w:rFonts w:hint="eastAsia" w:ascii="宋体" w:hAnsi="宋体"/>
          <w:color w:val="auto"/>
          <w:sz w:val="32"/>
          <w:lang w:val="zh-CN"/>
        </w:rPr>
        <w:t>小时以上。鼓励支持孩子参加校外多种形式的体育活动，督促孩子认真完成寒暑假体育作业，使其掌握</w:t>
      </w:r>
      <w:r>
        <w:rPr>
          <w:rFonts w:hint="default" w:ascii="Times New Roman" w:hAnsi="Times New Roman" w:eastAsia="Times New Roman"/>
          <w:color w:val="auto"/>
          <w:sz w:val="32"/>
          <w:lang w:val="en-US"/>
        </w:rPr>
        <w:t>1</w:t>
      </w:r>
      <w:r>
        <w:rPr>
          <w:rFonts w:hint="eastAsia" w:ascii="宋体" w:hAnsi="宋体"/>
          <w:color w:val="auto"/>
          <w:sz w:val="32"/>
          <w:lang w:val="zh-CN"/>
        </w:rPr>
        <w:t>～</w:t>
      </w:r>
      <w:r>
        <w:rPr>
          <w:rFonts w:hint="default" w:ascii="Times New Roman" w:hAnsi="Times New Roman" w:eastAsia="Times New Roman"/>
          <w:color w:val="auto"/>
          <w:sz w:val="32"/>
          <w:lang w:val="en-US"/>
        </w:rPr>
        <w:t>2</w:t>
      </w:r>
      <w:r>
        <w:rPr>
          <w:rFonts w:hint="eastAsia" w:ascii="宋体" w:hAnsi="宋体"/>
          <w:color w:val="auto"/>
          <w:sz w:val="32"/>
          <w:lang w:val="zh-CN"/>
        </w:rPr>
        <w:t>项体育运动技能，引导孩子养成终身锻炼习惯。</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5.</w:t>
      </w:r>
      <w:r>
        <w:rPr>
          <w:rFonts w:hint="eastAsia" w:ascii="宋体" w:hAnsi="宋体"/>
          <w:color w:val="auto"/>
          <w:sz w:val="32"/>
          <w:lang w:val="zh-CN"/>
        </w:rPr>
        <w:t>建议家长陪伴孩子时尽量减少使用电子屏幕产品。有意识地控制孩子特别是学龄前儿童使用电子屏幕产品，非学习目的的电子屏幕产品使用单次不宜超过</w:t>
      </w:r>
      <w:r>
        <w:rPr>
          <w:rFonts w:hint="default" w:ascii="Times New Roman" w:hAnsi="Times New Roman" w:eastAsia="Times New Roman"/>
          <w:color w:val="auto"/>
          <w:sz w:val="32"/>
          <w:lang w:val="en-US"/>
        </w:rPr>
        <w:t>15</w:t>
      </w:r>
      <w:r>
        <w:rPr>
          <w:rFonts w:hint="eastAsia" w:ascii="宋体" w:hAnsi="宋体"/>
          <w:color w:val="auto"/>
          <w:sz w:val="32"/>
          <w:lang w:val="zh-CN"/>
        </w:rPr>
        <w:t>分钟，每天累计不宜超过</w:t>
      </w:r>
      <w:r>
        <w:rPr>
          <w:rFonts w:hint="default" w:ascii="Times New Roman" w:hAnsi="Times New Roman" w:eastAsia="Times New Roman"/>
          <w:color w:val="auto"/>
          <w:sz w:val="32"/>
          <w:lang w:val="en-US"/>
        </w:rPr>
        <w:t>1</w:t>
      </w:r>
      <w:r>
        <w:rPr>
          <w:rFonts w:hint="eastAsia" w:ascii="宋体" w:hAnsi="宋体"/>
          <w:color w:val="auto"/>
          <w:sz w:val="32"/>
          <w:lang w:val="zh-CN"/>
        </w:rPr>
        <w:t>小时，使用电子屏幕产品学习</w:t>
      </w:r>
      <w:r>
        <w:rPr>
          <w:rFonts w:hint="default" w:ascii="Times New Roman" w:hAnsi="Times New Roman" w:eastAsia="Times New Roman"/>
          <w:color w:val="auto"/>
          <w:sz w:val="32"/>
          <w:lang w:val="en-US"/>
        </w:rPr>
        <w:t>30</w:t>
      </w:r>
      <w:r>
        <w:rPr>
          <w:rFonts w:hint="eastAsia" w:ascii="宋体" w:hAnsi="宋体"/>
          <w:color w:val="auto"/>
          <w:sz w:val="32"/>
          <w:lang w:val="zh-CN"/>
        </w:rPr>
        <w:t>～</w:t>
      </w:r>
      <w:r>
        <w:rPr>
          <w:rFonts w:hint="default" w:ascii="Times New Roman" w:hAnsi="Times New Roman" w:eastAsia="Times New Roman"/>
          <w:color w:val="auto"/>
          <w:sz w:val="32"/>
          <w:lang w:val="en-US"/>
        </w:rPr>
        <w:t>40</w:t>
      </w:r>
      <w:r>
        <w:rPr>
          <w:rFonts w:hint="eastAsia" w:ascii="宋体" w:hAnsi="宋体"/>
          <w:color w:val="auto"/>
          <w:sz w:val="32"/>
          <w:lang w:val="zh-CN"/>
        </w:rPr>
        <w:t>分钟后，建议休息远眺放松</w:t>
      </w:r>
      <w:r>
        <w:rPr>
          <w:rFonts w:hint="default" w:ascii="Times New Roman" w:hAnsi="Times New Roman" w:eastAsia="Times New Roman"/>
          <w:color w:val="auto"/>
          <w:sz w:val="32"/>
          <w:lang w:val="en-US"/>
        </w:rPr>
        <w:t>10</w:t>
      </w:r>
      <w:r>
        <w:rPr>
          <w:rFonts w:hint="eastAsia" w:ascii="宋体" w:hAnsi="宋体"/>
          <w:color w:val="auto"/>
          <w:sz w:val="32"/>
          <w:lang w:val="zh-CN"/>
        </w:rPr>
        <w:t>分钟，年龄越小，连续使用电子屏幕产品的时间应越短。</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6.</w:t>
      </w:r>
      <w:r>
        <w:rPr>
          <w:rFonts w:hint="eastAsia" w:ascii="宋体" w:hAnsi="宋体"/>
          <w:color w:val="auto"/>
          <w:sz w:val="32"/>
          <w:lang w:val="zh-CN"/>
        </w:rPr>
        <w:t>切实减轻孩子家庭和校外学业负担，不要盲目参加课外培训、跟风报班，建议根据孩子兴趣爱好合理选择。</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7.</w:t>
      </w:r>
      <w:r>
        <w:rPr>
          <w:rFonts w:hint="eastAsia" w:ascii="宋体" w:hAnsi="宋体"/>
          <w:color w:val="auto"/>
          <w:sz w:val="32"/>
          <w:lang w:val="zh-CN"/>
        </w:rPr>
        <w:t>保障营养质量。鼓励孩子不挑食、不偏食，根据孩子身体发育情况均衡膳食，避免高糖、高盐、高油等食品的摄入。</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8.</w:t>
      </w:r>
      <w:r>
        <w:rPr>
          <w:rFonts w:hint="eastAsia" w:ascii="宋体" w:hAnsi="宋体"/>
          <w:color w:val="auto"/>
          <w:sz w:val="32"/>
          <w:lang w:val="zh-CN"/>
        </w:rPr>
        <w:t>随时关注孩子健康状况，发现孩子出现疾病早期征象时，及时咨询专业人员或带其到医疗机构检查。</w:t>
      </w:r>
    </w:p>
    <w:p>
      <w:pPr>
        <w:spacing w:beforeLines="0" w:afterLines="0" w:line="600" w:lineRule="atLeast"/>
        <w:ind w:firstLine="643"/>
        <w:rPr>
          <w:rFonts w:hint="default" w:ascii="Times New Roman" w:hAnsi="Times New Roman" w:eastAsia="Times New Roman"/>
          <w:b/>
          <w:color w:val="auto"/>
          <w:sz w:val="32"/>
          <w:lang w:val="en-US"/>
        </w:rPr>
      </w:pPr>
      <w:r>
        <w:rPr>
          <w:rFonts w:hint="default" w:ascii="宋体" w:hAnsi="宋体"/>
          <w:b/>
          <w:color w:val="auto"/>
          <w:sz w:val="32"/>
          <w:lang w:val="zh-CN"/>
        </w:rPr>
        <w:t>——</w:t>
      </w:r>
      <w:r>
        <w:rPr>
          <w:rFonts w:hint="eastAsia" w:ascii="宋体" w:hAnsi="宋体"/>
          <w:b/>
          <w:color w:val="auto"/>
          <w:sz w:val="32"/>
          <w:lang w:val="zh-CN"/>
        </w:rPr>
        <w:t>学校：</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1.</w:t>
      </w:r>
      <w:r>
        <w:rPr>
          <w:rFonts w:hint="eastAsia" w:ascii="宋体" w:hAnsi="宋体"/>
          <w:color w:val="auto"/>
          <w:sz w:val="32"/>
          <w:lang w:val="zh-CN"/>
        </w:rPr>
        <w:t>严格依据国家课程方案和课程标准组织安排教学活动，小学一二年级不布置书面家庭作业，三至六年级书面家庭作业完成时间不得超过</w:t>
      </w:r>
      <w:r>
        <w:rPr>
          <w:rFonts w:hint="default" w:ascii="Times New Roman" w:hAnsi="Times New Roman" w:eastAsia="Times New Roman"/>
          <w:color w:val="auto"/>
          <w:sz w:val="32"/>
          <w:lang w:val="en-US"/>
        </w:rPr>
        <w:t>60</w:t>
      </w:r>
      <w:r>
        <w:rPr>
          <w:rFonts w:hint="eastAsia" w:ascii="宋体" w:hAnsi="宋体"/>
          <w:color w:val="auto"/>
          <w:sz w:val="32"/>
          <w:lang w:val="zh-CN"/>
        </w:rPr>
        <w:t>分钟，初中不得超过</w:t>
      </w:r>
      <w:r>
        <w:rPr>
          <w:rFonts w:hint="default" w:ascii="Times New Roman" w:hAnsi="Times New Roman" w:eastAsia="Times New Roman"/>
          <w:color w:val="auto"/>
          <w:sz w:val="32"/>
          <w:lang w:val="en-US"/>
        </w:rPr>
        <w:t>90</w:t>
      </w:r>
      <w:r>
        <w:rPr>
          <w:rFonts w:hint="eastAsia" w:ascii="宋体" w:hAnsi="宋体"/>
          <w:color w:val="auto"/>
          <w:sz w:val="32"/>
          <w:lang w:val="zh-CN"/>
        </w:rPr>
        <w:t>分钟，高中阶段也要合理安排作业时间。</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2.</w:t>
      </w:r>
      <w:r>
        <w:rPr>
          <w:rFonts w:hint="eastAsia" w:ascii="宋体" w:hAnsi="宋体"/>
          <w:color w:val="auto"/>
          <w:sz w:val="32"/>
          <w:lang w:val="zh-CN"/>
        </w:rPr>
        <w:t>全面推进义务教育学校免试就近入学全覆盖。坚决控制义务教育阶段校内统一考试次数，小学一二年级每学期不得超过</w:t>
      </w:r>
      <w:r>
        <w:rPr>
          <w:rFonts w:hint="default" w:ascii="Times New Roman" w:hAnsi="Times New Roman" w:eastAsia="Times New Roman"/>
          <w:color w:val="auto"/>
          <w:sz w:val="32"/>
          <w:lang w:val="en-US"/>
        </w:rPr>
        <w:t>1</w:t>
      </w:r>
      <w:r>
        <w:rPr>
          <w:rFonts w:hint="eastAsia" w:ascii="宋体" w:hAnsi="宋体"/>
          <w:color w:val="auto"/>
          <w:sz w:val="32"/>
          <w:lang w:val="zh-CN"/>
        </w:rPr>
        <w:t>次，其他年级每学期不得超过</w:t>
      </w:r>
      <w:r>
        <w:rPr>
          <w:rFonts w:hint="default" w:ascii="Times New Roman" w:hAnsi="Times New Roman" w:eastAsia="Times New Roman"/>
          <w:color w:val="auto"/>
          <w:sz w:val="32"/>
          <w:lang w:val="en-US"/>
        </w:rPr>
        <w:t>2</w:t>
      </w:r>
      <w:r>
        <w:rPr>
          <w:rFonts w:hint="eastAsia" w:ascii="宋体" w:hAnsi="宋体"/>
          <w:color w:val="auto"/>
          <w:sz w:val="32"/>
          <w:lang w:val="zh-CN"/>
        </w:rPr>
        <w:t>次。</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3.</w:t>
      </w:r>
      <w:r>
        <w:rPr>
          <w:rFonts w:hint="eastAsia" w:ascii="宋体" w:hAnsi="宋体"/>
          <w:color w:val="auto"/>
          <w:sz w:val="32"/>
          <w:lang w:val="zh-CN"/>
        </w:rPr>
        <w:t>改善教学设施和条件，为学生提供符合健康要求的学习环境。加快消除</w:t>
      </w:r>
      <w:r>
        <w:rPr>
          <w:rFonts w:hint="default" w:ascii="宋体" w:hAnsi="宋体"/>
          <w:color w:val="auto"/>
          <w:sz w:val="32"/>
          <w:lang w:val="zh-CN"/>
        </w:rPr>
        <w:t>“</w:t>
      </w:r>
      <w:r>
        <w:rPr>
          <w:rFonts w:hint="eastAsia" w:ascii="宋体" w:hAnsi="宋体"/>
          <w:color w:val="auto"/>
          <w:sz w:val="32"/>
          <w:lang w:val="zh-CN"/>
        </w:rPr>
        <w:t>大班额</w:t>
      </w:r>
      <w:r>
        <w:rPr>
          <w:rFonts w:hint="default" w:ascii="宋体" w:hAnsi="宋体"/>
          <w:color w:val="auto"/>
          <w:sz w:val="32"/>
          <w:lang w:val="zh-CN"/>
        </w:rPr>
        <w:t>”</w:t>
      </w:r>
      <w:r>
        <w:rPr>
          <w:rFonts w:hint="eastAsia" w:ascii="宋体" w:hAnsi="宋体"/>
          <w:color w:val="auto"/>
          <w:sz w:val="32"/>
          <w:lang w:val="zh-CN"/>
        </w:rPr>
        <w:t>现象。每月调整学生座位，每学期对学生课桌椅高度进行个性化调整，使其适应学生生长发育变化。</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4.</w:t>
      </w:r>
      <w:r>
        <w:rPr>
          <w:rFonts w:hint="eastAsia" w:ascii="宋体" w:hAnsi="宋体"/>
          <w:color w:val="auto"/>
          <w:sz w:val="32"/>
          <w:lang w:val="zh-CN"/>
        </w:rPr>
        <w:t>中小学校要严格组织全体学生每天上下午各做</w:t>
      </w:r>
      <w:r>
        <w:rPr>
          <w:rFonts w:hint="default" w:ascii="Times New Roman" w:hAnsi="Times New Roman" w:eastAsia="Times New Roman"/>
          <w:color w:val="auto"/>
          <w:sz w:val="32"/>
          <w:lang w:val="en-US"/>
        </w:rPr>
        <w:t>1</w:t>
      </w:r>
      <w:r>
        <w:rPr>
          <w:rFonts w:hint="eastAsia" w:ascii="宋体" w:hAnsi="宋体"/>
          <w:color w:val="auto"/>
          <w:sz w:val="32"/>
          <w:lang w:val="zh-CN"/>
        </w:rPr>
        <w:t>次眼保健操。教师要教会学生掌握正确的执笔姿势，督促学生读写时坐姿端正，监督并随时纠正学生不良读写姿势。教师发现学生出现看不清黑板、经常揉眼睛等迹象时，要了解其视力情况。</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5.</w:t>
      </w:r>
      <w:r>
        <w:rPr>
          <w:rFonts w:hint="eastAsia" w:ascii="宋体" w:hAnsi="宋体"/>
          <w:color w:val="auto"/>
          <w:sz w:val="32"/>
          <w:lang w:val="zh-CN"/>
        </w:rPr>
        <w:t>强化体育课和课外锻炼，确保中小学生在校时每天</w:t>
      </w:r>
      <w:r>
        <w:rPr>
          <w:rFonts w:hint="default" w:ascii="Times New Roman" w:hAnsi="Times New Roman" w:eastAsia="Times New Roman"/>
          <w:color w:val="auto"/>
          <w:sz w:val="32"/>
          <w:lang w:val="en-US"/>
        </w:rPr>
        <w:t>1</w:t>
      </w:r>
      <w:r>
        <w:rPr>
          <w:rFonts w:hint="eastAsia" w:ascii="宋体" w:hAnsi="宋体"/>
          <w:color w:val="auto"/>
          <w:sz w:val="32"/>
          <w:lang w:val="zh-CN"/>
        </w:rPr>
        <w:t>小时以上体育活动时间。严格落实国家体育与健康课程标准，确保小学一二年级每周</w:t>
      </w:r>
      <w:r>
        <w:rPr>
          <w:rFonts w:hint="default" w:ascii="Times New Roman" w:hAnsi="Times New Roman" w:eastAsia="Times New Roman"/>
          <w:color w:val="auto"/>
          <w:sz w:val="32"/>
          <w:lang w:val="en-US"/>
        </w:rPr>
        <w:t>4</w:t>
      </w:r>
      <w:r>
        <w:rPr>
          <w:rFonts w:hint="eastAsia" w:ascii="宋体" w:hAnsi="宋体"/>
          <w:color w:val="auto"/>
          <w:sz w:val="32"/>
          <w:lang w:val="zh-CN"/>
        </w:rPr>
        <w:t>课时，三至六年级和初中每周</w:t>
      </w:r>
      <w:r>
        <w:rPr>
          <w:rFonts w:hint="default" w:ascii="Times New Roman" w:hAnsi="Times New Roman" w:eastAsia="Times New Roman"/>
          <w:color w:val="auto"/>
          <w:sz w:val="32"/>
          <w:lang w:val="en-US"/>
        </w:rPr>
        <w:t>3</w:t>
      </w:r>
      <w:r>
        <w:rPr>
          <w:rFonts w:hint="eastAsia" w:ascii="宋体" w:hAnsi="宋体"/>
          <w:color w:val="auto"/>
          <w:sz w:val="32"/>
          <w:lang w:val="zh-CN"/>
        </w:rPr>
        <w:t>课时，高中阶段每周</w:t>
      </w:r>
      <w:r>
        <w:rPr>
          <w:rFonts w:hint="default" w:ascii="Times New Roman" w:hAnsi="Times New Roman" w:eastAsia="Times New Roman"/>
          <w:color w:val="auto"/>
          <w:sz w:val="32"/>
          <w:lang w:val="en-US"/>
        </w:rPr>
        <w:t>2</w:t>
      </w:r>
      <w:r>
        <w:rPr>
          <w:rFonts w:hint="eastAsia" w:ascii="宋体" w:hAnsi="宋体"/>
          <w:color w:val="auto"/>
          <w:sz w:val="32"/>
          <w:lang w:val="zh-CN"/>
        </w:rPr>
        <w:t>课时。中小学校每天安排</w:t>
      </w:r>
      <w:r>
        <w:rPr>
          <w:rFonts w:hint="default" w:ascii="Times New Roman" w:hAnsi="Times New Roman" w:eastAsia="Times New Roman"/>
          <w:color w:val="auto"/>
          <w:sz w:val="32"/>
          <w:lang w:val="en-US"/>
        </w:rPr>
        <w:t>30</w:t>
      </w:r>
      <w:r>
        <w:rPr>
          <w:rFonts w:hint="eastAsia" w:ascii="宋体" w:hAnsi="宋体"/>
          <w:color w:val="auto"/>
          <w:sz w:val="32"/>
          <w:lang w:val="zh-CN"/>
        </w:rPr>
        <w:t>分钟大课间体育活动。有序组织和督促学生在课间时到室外活动或远眺，防止学生持续疲劳用眼。</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6.</w:t>
      </w:r>
      <w:r>
        <w:rPr>
          <w:rFonts w:hint="eastAsia" w:ascii="宋体" w:hAnsi="宋体"/>
          <w:color w:val="auto"/>
          <w:sz w:val="32"/>
          <w:lang w:val="zh-CN"/>
        </w:rPr>
        <w:t>根据学校教育的不同阶段，设置相应的体育与健康教育课程，向学生教授健康行为与生活方式、疾病防控、心理健康、生长发育与青春期保健、安全应急与避险等知识，提高学生健康素养，积极利用多种形式对学生和家长开展健康教育。培训培养健康教育教师，开发和拓展健康教育课程资源。</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7.</w:t>
      </w:r>
      <w:r>
        <w:rPr>
          <w:rFonts w:hint="eastAsia" w:ascii="宋体" w:hAnsi="宋体"/>
          <w:color w:val="auto"/>
          <w:sz w:val="32"/>
          <w:lang w:val="zh-CN"/>
        </w:rPr>
        <w:t>指导学生科学规范使用电子屏幕产品，养成信息化环境下良好的学习和用眼卫生习惯。严禁学生将个人手机、平板电脑等电子屏幕产品带入课堂，带入学校的要进行统一保管。使用电子屏幕产品开展教学时长原则上不超过教学总时长的</w:t>
      </w:r>
      <w:r>
        <w:rPr>
          <w:rFonts w:hint="default" w:ascii="Times New Roman" w:hAnsi="Times New Roman" w:eastAsia="Times New Roman"/>
          <w:color w:val="auto"/>
          <w:sz w:val="32"/>
          <w:lang w:val="en-US"/>
        </w:rPr>
        <w:t>30%</w:t>
      </w:r>
      <w:r>
        <w:rPr>
          <w:rFonts w:hint="eastAsia" w:ascii="宋体" w:hAnsi="宋体"/>
          <w:color w:val="auto"/>
          <w:sz w:val="32"/>
          <w:lang w:val="zh-CN"/>
        </w:rPr>
        <w:t>，原则上采用纸质作业。</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8.</w:t>
      </w:r>
      <w:r>
        <w:rPr>
          <w:rFonts w:hint="eastAsia" w:ascii="宋体" w:hAnsi="宋体"/>
          <w:color w:val="auto"/>
          <w:sz w:val="32"/>
          <w:lang w:val="zh-CN"/>
        </w:rPr>
        <w:t>加强医务室（卫生室、校医院、保健室等）力量，按标准配备校医和必要的设备。加强中小学校重点传染病防治知识宣传和防控工作，严格落实学校入学体检和因病缺勤病因追查及登记制度，减少学校流行性感冒、结核病等传染病聚集性疫情发生。严格落实学生健康体检制度，提醒身体健康状况有问题的学生到医疗机构检查。加强对学生营养管理和营养指导，开展针对学生的营养健康教育，中小学校食堂禁止提供高糖食品，校园内限制销售含糖饮料并避免售卖高盐、高糖及高脂食品，培养健康的饮食行为习惯。</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9.</w:t>
      </w:r>
      <w:r>
        <w:rPr>
          <w:rFonts w:hint="eastAsia" w:ascii="宋体" w:hAnsi="宋体"/>
          <w:color w:val="auto"/>
          <w:sz w:val="32"/>
          <w:lang w:val="zh-CN"/>
        </w:rPr>
        <w:t>中小学校配备专兼职心理健康工作人员。关心留守儿童、流动儿童心理健康，为学生提供及时的心理干预。</w:t>
      </w:r>
    </w:p>
    <w:p>
      <w:pPr>
        <w:spacing w:beforeLines="0" w:afterLines="0" w:line="600" w:lineRule="atLeast"/>
        <w:ind w:firstLine="643"/>
        <w:rPr>
          <w:rFonts w:hint="default" w:ascii="Times New Roman" w:hAnsi="Times New Roman" w:eastAsia="Times New Roman"/>
          <w:b/>
          <w:color w:val="auto"/>
          <w:sz w:val="32"/>
          <w:lang w:val="en-US"/>
        </w:rPr>
      </w:pPr>
      <w:r>
        <w:rPr>
          <w:rFonts w:hint="default" w:ascii="宋体" w:hAnsi="宋体"/>
          <w:b/>
          <w:color w:val="auto"/>
          <w:sz w:val="32"/>
          <w:lang w:val="zh-CN"/>
        </w:rPr>
        <w:t>——</w:t>
      </w:r>
      <w:r>
        <w:rPr>
          <w:rFonts w:hint="eastAsia" w:ascii="宋体" w:hAnsi="宋体"/>
          <w:b/>
          <w:color w:val="auto"/>
          <w:sz w:val="32"/>
          <w:lang w:val="zh-CN"/>
        </w:rPr>
        <w:t>政府：</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1.</w:t>
      </w:r>
      <w:r>
        <w:rPr>
          <w:rFonts w:hint="eastAsia" w:ascii="宋体" w:hAnsi="宋体"/>
          <w:color w:val="auto"/>
          <w:sz w:val="32"/>
          <w:lang w:val="zh-CN"/>
        </w:rPr>
        <w:t>研究修订《学校卫生工作条例》和《中小学健康教育指导纲要》等，制定《学校食品安全和营养健康管理规定》等，进一步健全学校体育卫生发展制度和体系。制定健康学校标准，开展健康学校建设。深化学校体育、健康教育教学改革，全国中小学普遍开设体育与健康教育课程。根据学生的成长规律和特点，分阶段确定健康教育内容并纳入评价范围，做到教学计划、教学材料、课时、师资</w:t>
      </w:r>
      <w:r>
        <w:rPr>
          <w:rFonts w:hint="default" w:ascii="宋体" w:hAnsi="宋体"/>
          <w:color w:val="auto"/>
          <w:sz w:val="32"/>
          <w:lang w:val="zh-CN"/>
        </w:rPr>
        <w:t>“</w:t>
      </w:r>
      <w:r>
        <w:rPr>
          <w:rFonts w:hint="eastAsia" w:ascii="宋体" w:hAnsi="宋体"/>
          <w:color w:val="auto"/>
          <w:sz w:val="32"/>
          <w:lang w:val="zh-CN"/>
        </w:rPr>
        <w:t>四到位</w:t>
      </w:r>
      <w:r>
        <w:rPr>
          <w:rFonts w:hint="default" w:ascii="宋体" w:hAnsi="宋体"/>
          <w:color w:val="auto"/>
          <w:sz w:val="32"/>
          <w:lang w:val="zh-CN"/>
        </w:rPr>
        <w:t>”</w:t>
      </w:r>
      <w:r>
        <w:rPr>
          <w:rFonts w:hint="eastAsia" w:ascii="宋体" w:hAnsi="宋体"/>
          <w:color w:val="auto"/>
          <w:sz w:val="32"/>
          <w:lang w:val="zh-CN"/>
        </w:rPr>
        <w:t>，逐步覆盖所有学生。（教育部牵头，卫生健康委等按职责分工负责）</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2.</w:t>
      </w:r>
      <w:r>
        <w:rPr>
          <w:rFonts w:hint="eastAsia" w:ascii="宋体" w:hAnsi="宋体"/>
          <w:color w:val="auto"/>
          <w:sz w:val="32"/>
          <w:lang w:val="zh-CN"/>
        </w:rPr>
        <w:t>加强现有中小学卫生保健机构建设，按照标准和要求强化人员和设备配备。保障师生在校用餐食品安全和营养健康，加强义务教育学校食堂建设。坚决治理规范校外培训机构，每年对校外培训机构教室采光照明、课桌椅配备、电子屏幕产品等达标情况开展全覆盖专项检查。（教育部牵头，卫生健康委按职责负责）</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3.</w:t>
      </w:r>
      <w:r>
        <w:rPr>
          <w:rFonts w:hint="eastAsia" w:ascii="宋体" w:hAnsi="宋体"/>
          <w:color w:val="auto"/>
          <w:sz w:val="32"/>
          <w:lang w:val="zh-CN"/>
        </w:rPr>
        <w:t>全面加强全国儿童青少年视力健康及其相关危险因素监测网络、数据收集与信息化建设。组建全国儿童青少年近视防治和视力健康专家队伍，科学指导儿童青少年近视防治和视力健康管理工作。按照采光和照明国家有关标准要求，对学校、托幼机构和校外培训机构教室（教学场所）以</w:t>
      </w:r>
      <w:r>
        <w:rPr>
          <w:rFonts w:hint="default" w:ascii="宋体" w:hAnsi="宋体"/>
          <w:color w:val="auto"/>
          <w:sz w:val="32"/>
          <w:lang w:val="zh-CN"/>
        </w:rPr>
        <w:t>“</w:t>
      </w:r>
      <w:r>
        <w:rPr>
          <w:rFonts w:hint="eastAsia" w:ascii="宋体" w:hAnsi="宋体"/>
          <w:color w:val="auto"/>
          <w:sz w:val="32"/>
          <w:lang w:val="zh-CN"/>
        </w:rPr>
        <w:t>双随机</w:t>
      </w:r>
      <w:r>
        <w:rPr>
          <w:rFonts w:hint="default" w:ascii="宋体" w:hAnsi="宋体"/>
          <w:color w:val="auto"/>
          <w:sz w:val="32"/>
          <w:lang w:val="zh-CN"/>
        </w:rPr>
        <w:t>”</w:t>
      </w:r>
      <w:r>
        <w:rPr>
          <w:rFonts w:hint="eastAsia" w:ascii="宋体" w:hAnsi="宋体"/>
          <w:color w:val="auto"/>
          <w:sz w:val="32"/>
          <w:lang w:val="zh-CN"/>
        </w:rPr>
        <w:t>方式进行抽检、记录并公布。建立基层医疗卫生机构包片联系中小学校制度。（卫生健康委牵头，教育部按职责负责）</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4.</w:t>
      </w:r>
      <w:r>
        <w:rPr>
          <w:rFonts w:hint="eastAsia" w:ascii="宋体" w:hAnsi="宋体"/>
          <w:color w:val="auto"/>
          <w:sz w:val="32"/>
          <w:lang w:val="zh-CN"/>
        </w:rPr>
        <w:t>积极引导支持社会力量开展各类儿童青少年体育活动，有针对性地开展各类冬（夏）令营、训练营和体育赛事等，吸引儿童青少年广泛参加体育运动。（发展改革委、教育部、体育总局、共青团中央按职责分工负责）</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5.</w:t>
      </w:r>
      <w:r>
        <w:rPr>
          <w:rFonts w:hint="eastAsia" w:ascii="宋体" w:hAnsi="宋体"/>
          <w:color w:val="auto"/>
          <w:sz w:val="32"/>
          <w:lang w:val="zh-CN"/>
        </w:rPr>
        <w:t>实施网络游戏总量调控，控制新增网络游戏上网运营数量，鼓励研发传播集知识性、教育性、原创性、技能性、趣味性于一体的优秀网络游戏作品，探索符合国情的适龄提示制度，采取措施限制未成年人使用时间。（中央网信办、工业和信息化部、国家新闻出版署按职责分工负责）</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6.</w:t>
      </w:r>
      <w:r>
        <w:rPr>
          <w:rFonts w:hint="eastAsia" w:ascii="宋体" w:hAnsi="宋体"/>
          <w:color w:val="auto"/>
          <w:sz w:val="32"/>
          <w:lang w:val="zh-CN"/>
        </w:rPr>
        <w:t>完善学生健康体检制度和学生体质健康监测制度。把学校体育工作和学生体质健康状况纳入对地方政府、教育行政部门和学校的考核评价体系，与学校负责人奖惩挂钩。把学生健康知识、急救知识，特别是心肺复苏纳入考试内容，把健康知识、急救知识的掌握程度和体质健康测试情况作为学校学生评优评先、毕业考核和升学的重要指标，将高中体育科目纳入高中学业水平测试或高考综合评价体系，鼓励高校探索在特殊类型招生中增设体育科目测试。（教育部牵头，卫生健康委按职责负责）</w:t>
      </w:r>
    </w:p>
    <w:p>
      <w:pPr>
        <w:spacing w:beforeLines="0" w:afterLines="0" w:line="600" w:lineRule="atLeast"/>
        <w:ind w:firstLine="643"/>
        <w:rPr>
          <w:rFonts w:hint="default" w:ascii="Times New Roman" w:hAnsi="Times New Roman" w:eastAsia="Times New Roman"/>
          <w:b/>
          <w:color w:val="auto"/>
          <w:sz w:val="32"/>
          <w:lang w:val="en-US"/>
        </w:rPr>
      </w:pPr>
      <w:r>
        <w:rPr>
          <w:rFonts w:hint="eastAsia" w:ascii="宋体" w:hAnsi="宋体"/>
          <w:b/>
          <w:color w:val="auto"/>
          <w:sz w:val="32"/>
          <w:lang w:val="zh-CN"/>
        </w:rPr>
        <w:t>（九）职业健康保护行动。</w:t>
      </w:r>
    </w:p>
    <w:p>
      <w:pPr>
        <w:spacing w:beforeLines="0" w:afterLines="0" w:line="600" w:lineRule="atLeast"/>
        <w:ind w:firstLine="640"/>
        <w:rPr>
          <w:rFonts w:hint="default" w:ascii="Times New Roman" w:hAnsi="Times New Roman" w:eastAsia="Times New Roman"/>
          <w:color w:val="auto"/>
          <w:sz w:val="32"/>
          <w:lang w:val="en-US"/>
        </w:rPr>
      </w:pPr>
      <w:r>
        <w:rPr>
          <w:rFonts w:hint="eastAsia" w:ascii="宋体" w:hAnsi="宋体"/>
          <w:color w:val="auto"/>
          <w:sz w:val="32"/>
          <w:lang w:val="zh-CN"/>
        </w:rPr>
        <w:t>我国是世界上劳动人口最多的国家，</w:t>
      </w:r>
      <w:r>
        <w:rPr>
          <w:rFonts w:hint="default" w:ascii="Times New Roman" w:hAnsi="Times New Roman" w:eastAsia="Times New Roman"/>
          <w:color w:val="auto"/>
          <w:sz w:val="32"/>
          <w:lang w:val="en-US"/>
        </w:rPr>
        <w:t>2017</w:t>
      </w:r>
      <w:r>
        <w:rPr>
          <w:rFonts w:hint="eastAsia" w:ascii="宋体" w:hAnsi="宋体"/>
          <w:color w:val="auto"/>
          <w:sz w:val="32"/>
          <w:lang w:val="zh-CN"/>
        </w:rPr>
        <w:t>年我国就业人口</w:t>
      </w:r>
      <w:r>
        <w:rPr>
          <w:rFonts w:hint="default" w:ascii="Times New Roman" w:hAnsi="Times New Roman" w:eastAsia="Times New Roman"/>
          <w:color w:val="auto"/>
          <w:sz w:val="32"/>
          <w:lang w:val="en-US"/>
        </w:rPr>
        <w:t>7.76</w:t>
      </w:r>
      <w:r>
        <w:rPr>
          <w:rFonts w:hint="eastAsia" w:ascii="宋体" w:hAnsi="宋体"/>
          <w:color w:val="auto"/>
          <w:sz w:val="32"/>
          <w:lang w:val="zh-CN"/>
        </w:rPr>
        <w:t>亿人，占总人口的</w:t>
      </w:r>
      <w:r>
        <w:rPr>
          <w:rFonts w:hint="default" w:ascii="Times New Roman" w:hAnsi="Times New Roman" w:eastAsia="Times New Roman"/>
          <w:color w:val="auto"/>
          <w:sz w:val="32"/>
          <w:lang w:val="en-US"/>
        </w:rPr>
        <w:t>55.8%</w:t>
      </w:r>
      <w:r>
        <w:rPr>
          <w:rFonts w:hint="eastAsia" w:ascii="宋体" w:hAnsi="宋体"/>
          <w:color w:val="auto"/>
          <w:sz w:val="32"/>
          <w:lang w:val="zh-CN"/>
        </w:rPr>
        <w:t>，多数劳动者职业生涯超过其生命周期的二分之一。工作场所接触各类危害因素引发的职业健康问题依然严重，职业病防治形势严峻、复杂，新的职业健康危害因素不断出现，疾病和工作压力导致的生理、心理等问题已成为亟待应对的职业健康新挑战。实施职业健康保护行动，强化政府监管职责，督促用人单位落实主体责任，提升职业健康工作水平，有效预防和控制职业病危害，切实保障劳动者职业健康权益，对维护全体劳动者身体健康、促进经济社会持续健康发展至关重要。</w:t>
      </w:r>
    </w:p>
    <w:p>
      <w:pPr>
        <w:spacing w:beforeLines="0" w:afterLines="0" w:line="600" w:lineRule="atLeast"/>
        <w:ind w:firstLine="640"/>
        <w:rPr>
          <w:rFonts w:hint="default" w:ascii="Times New Roman" w:hAnsi="Times New Roman" w:eastAsia="Times New Roman"/>
          <w:color w:val="auto"/>
          <w:sz w:val="32"/>
          <w:lang w:val="en-US"/>
        </w:rPr>
      </w:pPr>
      <w:r>
        <w:rPr>
          <w:rFonts w:hint="eastAsia" w:ascii="宋体" w:hAnsi="宋体"/>
          <w:color w:val="auto"/>
          <w:sz w:val="32"/>
          <w:lang w:val="zh-CN"/>
        </w:rPr>
        <w:t>行动目标：</w:t>
      </w:r>
    </w:p>
    <w:p>
      <w:pPr>
        <w:spacing w:beforeLines="0" w:afterLines="0" w:line="600" w:lineRule="atLeast"/>
        <w:ind w:firstLine="640"/>
        <w:rPr>
          <w:rFonts w:hint="default" w:ascii="Times New Roman" w:hAnsi="Times New Roman" w:eastAsia="Times New Roman"/>
          <w:color w:val="auto"/>
          <w:sz w:val="32"/>
          <w:lang w:val="en-US"/>
        </w:rPr>
      </w:pPr>
      <w:r>
        <w:rPr>
          <w:rFonts w:hint="eastAsia" w:ascii="宋体" w:hAnsi="宋体"/>
          <w:color w:val="auto"/>
          <w:sz w:val="32"/>
          <w:lang w:val="zh-CN"/>
        </w:rPr>
        <w:t>到</w:t>
      </w:r>
      <w:r>
        <w:rPr>
          <w:rFonts w:hint="default" w:ascii="Times New Roman" w:hAnsi="Times New Roman" w:eastAsia="Times New Roman"/>
          <w:color w:val="auto"/>
          <w:sz w:val="32"/>
          <w:lang w:val="en-US"/>
        </w:rPr>
        <w:t>2022</w:t>
      </w:r>
      <w:r>
        <w:rPr>
          <w:rFonts w:hint="eastAsia" w:ascii="宋体" w:hAnsi="宋体"/>
          <w:color w:val="auto"/>
          <w:sz w:val="32"/>
          <w:lang w:val="zh-CN"/>
        </w:rPr>
        <w:t>年和</w:t>
      </w:r>
      <w:r>
        <w:rPr>
          <w:rFonts w:hint="default" w:ascii="Times New Roman" w:hAnsi="Times New Roman" w:eastAsia="Times New Roman"/>
          <w:color w:val="auto"/>
          <w:sz w:val="32"/>
          <w:lang w:val="en-US"/>
        </w:rPr>
        <w:t>2030</w:t>
      </w:r>
      <w:r>
        <w:rPr>
          <w:rFonts w:hint="eastAsia" w:ascii="宋体" w:hAnsi="宋体"/>
          <w:color w:val="auto"/>
          <w:sz w:val="32"/>
          <w:lang w:val="zh-CN"/>
        </w:rPr>
        <w:t>年，劳动工时制度得到全面落实；工伤保险参保人数稳步提升，并于</w:t>
      </w:r>
      <w:r>
        <w:rPr>
          <w:rFonts w:hint="default" w:ascii="Times New Roman" w:hAnsi="Times New Roman" w:eastAsia="Times New Roman"/>
          <w:color w:val="auto"/>
          <w:sz w:val="32"/>
          <w:lang w:val="en-US"/>
        </w:rPr>
        <w:t>2030</w:t>
      </w:r>
      <w:r>
        <w:rPr>
          <w:rFonts w:hint="eastAsia" w:ascii="宋体" w:hAnsi="宋体"/>
          <w:color w:val="auto"/>
          <w:sz w:val="32"/>
          <w:lang w:val="zh-CN"/>
        </w:rPr>
        <w:t>年实现工伤保险法定人群参保全覆盖；接尘工龄不足</w:t>
      </w:r>
      <w:r>
        <w:rPr>
          <w:rFonts w:hint="default" w:ascii="Times New Roman" w:hAnsi="Times New Roman" w:eastAsia="Times New Roman"/>
          <w:color w:val="auto"/>
          <w:sz w:val="32"/>
          <w:lang w:val="en-US"/>
        </w:rPr>
        <w:t>5</w:t>
      </w:r>
      <w:r>
        <w:rPr>
          <w:rFonts w:hint="eastAsia" w:ascii="宋体" w:hAnsi="宋体"/>
          <w:color w:val="auto"/>
          <w:sz w:val="32"/>
          <w:lang w:val="zh-CN"/>
        </w:rPr>
        <w:t>年的劳动者新发尘肺病报告例数占年度报告总例数的比例实现明显下降并持续下降；辖区职业健康检查和职业病诊断服务覆盖率分别达到</w:t>
      </w:r>
      <w:r>
        <w:rPr>
          <w:rFonts w:hint="default" w:ascii="Times New Roman" w:hAnsi="Times New Roman" w:eastAsia="Times New Roman"/>
          <w:color w:val="auto"/>
          <w:sz w:val="32"/>
          <w:lang w:val="en-US"/>
        </w:rPr>
        <w:t>80%</w:t>
      </w:r>
      <w:r>
        <w:rPr>
          <w:rFonts w:hint="eastAsia" w:ascii="宋体" w:hAnsi="宋体"/>
          <w:color w:val="auto"/>
          <w:sz w:val="32"/>
          <w:lang w:val="zh-CN"/>
        </w:rPr>
        <w:t>及以上和</w:t>
      </w:r>
      <w:r>
        <w:rPr>
          <w:rFonts w:hint="default" w:ascii="Times New Roman" w:hAnsi="Times New Roman" w:eastAsia="Times New Roman"/>
          <w:color w:val="auto"/>
          <w:sz w:val="32"/>
          <w:lang w:val="en-US"/>
        </w:rPr>
        <w:t>90%</w:t>
      </w:r>
      <w:r>
        <w:rPr>
          <w:rFonts w:hint="eastAsia" w:ascii="宋体" w:hAnsi="宋体"/>
          <w:color w:val="auto"/>
          <w:sz w:val="32"/>
          <w:lang w:val="zh-CN"/>
        </w:rPr>
        <w:t>及以上；重点行业的用人单位职业病危害项目申报率达到</w:t>
      </w:r>
      <w:r>
        <w:rPr>
          <w:rFonts w:hint="default" w:ascii="Times New Roman" w:hAnsi="Times New Roman" w:eastAsia="Times New Roman"/>
          <w:color w:val="auto"/>
          <w:sz w:val="32"/>
          <w:lang w:val="en-US"/>
        </w:rPr>
        <w:t>90%</w:t>
      </w:r>
      <w:r>
        <w:rPr>
          <w:rFonts w:hint="eastAsia" w:ascii="宋体" w:hAnsi="宋体"/>
          <w:color w:val="auto"/>
          <w:sz w:val="32"/>
          <w:lang w:val="zh-CN"/>
        </w:rPr>
        <w:t>及以上；工作场所职业病危害因素检测率达到</w:t>
      </w:r>
      <w:r>
        <w:rPr>
          <w:rFonts w:hint="default" w:ascii="Times New Roman" w:hAnsi="Times New Roman" w:eastAsia="Times New Roman"/>
          <w:color w:val="auto"/>
          <w:sz w:val="32"/>
          <w:lang w:val="en-US"/>
        </w:rPr>
        <w:t>85%</w:t>
      </w:r>
      <w:r>
        <w:rPr>
          <w:rFonts w:hint="eastAsia" w:ascii="宋体" w:hAnsi="宋体"/>
          <w:color w:val="auto"/>
          <w:sz w:val="32"/>
          <w:lang w:val="zh-CN"/>
        </w:rPr>
        <w:t>及以上，接触职业病危害的劳动者在岗期间职业健康检查率达到</w:t>
      </w:r>
      <w:r>
        <w:rPr>
          <w:rFonts w:hint="default" w:ascii="Times New Roman" w:hAnsi="Times New Roman" w:eastAsia="Times New Roman"/>
          <w:color w:val="auto"/>
          <w:sz w:val="32"/>
          <w:lang w:val="en-US"/>
        </w:rPr>
        <w:t>90%</w:t>
      </w:r>
      <w:r>
        <w:rPr>
          <w:rFonts w:hint="eastAsia" w:ascii="宋体" w:hAnsi="宋体"/>
          <w:color w:val="auto"/>
          <w:sz w:val="32"/>
          <w:lang w:val="zh-CN"/>
        </w:rPr>
        <w:t>及以上；职业病诊断机构报告率达到</w:t>
      </w:r>
      <w:r>
        <w:rPr>
          <w:rFonts w:hint="default" w:ascii="Times New Roman" w:hAnsi="Times New Roman" w:eastAsia="Times New Roman"/>
          <w:color w:val="auto"/>
          <w:sz w:val="32"/>
          <w:lang w:val="en-US"/>
        </w:rPr>
        <w:t>95%</w:t>
      </w:r>
      <w:r>
        <w:rPr>
          <w:rFonts w:hint="eastAsia" w:ascii="宋体" w:hAnsi="宋体"/>
          <w:color w:val="auto"/>
          <w:sz w:val="32"/>
          <w:lang w:val="zh-CN"/>
        </w:rPr>
        <w:t>及以上。</w:t>
      </w:r>
    </w:p>
    <w:p>
      <w:pPr>
        <w:spacing w:beforeLines="0" w:afterLines="0" w:line="600" w:lineRule="atLeast"/>
        <w:ind w:firstLine="640"/>
        <w:rPr>
          <w:rFonts w:hint="default" w:ascii="Times New Roman" w:hAnsi="Times New Roman" w:eastAsia="Times New Roman"/>
          <w:color w:val="auto"/>
          <w:sz w:val="32"/>
          <w:lang w:val="en-US"/>
        </w:rPr>
      </w:pPr>
      <w:r>
        <w:rPr>
          <w:rFonts w:hint="eastAsia" w:ascii="宋体" w:hAnsi="宋体"/>
          <w:color w:val="auto"/>
          <w:sz w:val="32"/>
          <w:lang w:val="zh-CN"/>
        </w:rPr>
        <w:t>提倡重点行业劳动者对本岗位主要危害及防护知识知晓率达到</w:t>
      </w:r>
      <w:r>
        <w:rPr>
          <w:rFonts w:hint="default" w:ascii="Times New Roman" w:hAnsi="Times New Roman" w:eastAsia="Times New Roman"/>
          <w:color w:val="auto"/>
          <w:sz w:val="32"/>
          <w:lang w:val="en-US"/>
        </w:rPr>
        <w:t>90%</w:t>
      </w:r>
      <w:r>
        <w:rPr>
          <w:rFonts w:hint="eastAsia" w:ascii="宋体" w:hAnsi="宋体"/>
          <w:color w:val="auto"/>
          <w:sz w:val="32"/>
          <w:lang w:val="zh-CN"/>
        </w:rPr>
        <w:t>及以上并持续保持；鼓励各用人单位做好员工健康管理、评选</w:t>
      </w:r>
      <w:r>
        <w:rPr>
          <w:rFonts w:hint="default" w:ascii="宋体" w:hAnsi="宋体"/>
          <w:color w:val="auto"/>
          <w:sz w:val="32"/>
          <w:lang w:val="zh-CN"/>
        </w:rPr>
        <w:t>“</w:t>
      </w:r>
      <w:r>
        <w:rPr>
          <w:rFonts w:hint="eastAsia" w:ascii="宋体" w:hAnsi="宋体"/>
          <w:color w:val="auto"/>
          <w:sz w:val="32"/>
          <w:lang w:val="zh-CN"/>
        </w:rPr>
        <w:t>健康达人</w:t>
      </w:r>
      <w:r>
        <w:rPr>
          <w:rFonts w:hint="default" w:ascii="宋体" w:hAnsi="宋体"/>
          <w:color w:val="auto"/>
          <w:sz w:val="32"/>
          <w:lang w:val="zh-CN"/>
        </w:rPr>
        <w:t>”</w:t>
      </w:r>
      <w:r>
        <w:rPr>
          <w:rFonts w:hint="eastAsia" w:ascii="宋体" w:hAnsi="宋体"/>
          <w:color w:val="auto"/>
          <w:sz w:val="32"/>
          <w:lang w:val="zh-CN"/>
        </w:rPr>
        <w:t>，其中国家机关、学校、医疗卫生机构、国有企业等用人单位应支持员工率先树立健康形象，并给予奖励；对从事长时间、高强度重复用力、快速移动等作业方式以及视屏作业的人员，采取推广先进工艺技术、调整作息时间等措施，预防和控制过度疲劳和工作相关肌肉骨骼系统疾病的发生；采取综合措施降低或消除工作压力。</w:t>
      </w:r>
    </w:p>
    <w:p>
      <w:pPr>
        <w:spacing w:beforeLines="0" w:afterLines="0" w:line="600" w:lineRule="atLeast"/>
        <w:ind w:firstLine="643"/>
        <w:rPr>
          <w:rFonts w:hint="default" w:ascii="Times New Roman" w:hAnsi="Times New Roman" w:eastAsia="Times New Roman"/>
          <w:b/>
          <w:color w:val="auto"/>
          <w:sz w:val="32"/>
          <w:lang w:val="en-US"/>
        </w:rPr>
      </w:pPr>
      <w:r>
        <w:rPr>
          <w:rFonts w:hint="default" w:ascii="宋体" w:hAnsi="宋体"/>
          <w:b/>
          <w:color w:val="auto"/>
          <w:sz w:val="32"/>
          <w:lang w:val="zh-CN"/>
        </w:rPr>
        <w:t>——</w:t>
      </w:r>
      <w:r>
        <w:rPr>
          <w:rFonts w:hint="eastAsia" w:ascii="宋体" w:hAnsi="宋体"/>
          <w:b/>
          <w:color w:val="auto"/>
          <w:sz w:val="32"/>
          <w:lang w:val="zh-CN"/>
        </w:rPr>
        <w:t>劳动者个人：</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1.</w:t>
      </w:r>
      <w:r>
        <w:rPr>
          <w:rFonts w:hint="eastAsia" w:ascii="宋体" w:hAnsi="宋体"/>
          <w:color w:val="auto"/>
          <w:sz w:val="32"/>
          <w:lang w:val="zh-CN"/>
        </w:rPr>
        <w:t>倡导健康工作方式。积极传播职业健康先进理念和文化。国家机关、学校、医疗卫生机构、国有企业等单位的员工率先树立健康形象，争做</w:t>
      </w:r>
      <w:r>
        <w:rPr>
          <w:rFonts w:hint="default" w:ascii="宋体" w:hAnsi="宋体"/>
          <w:color w:val="auto"/>
          <w:sz w:val="32"/>
          <w:lang w:val="zh-CN"/>
        </w:rPr>
        <w:t>“</w:t>
      </w:r>
      <w:r>
        <w:rPr>
          <w:rFonts w:hint="eastAsia" w:ascii="宋体" w:hAnsi="宋体"/>
          <w:color w:val="auto"/>
          <w:sz w:val="32"/>
          <w:lang w:val="zh-CN"/>
        </w:rPr>
        <w:t>健康达人</w:t>
      </w:r>
      <w:r>
        <w:rPr>
          <w:rFonts w:hint="default" w:ascii="宋体" w:hAnsi="宋体"/>
          <w:color w:val="auto"/>
          <w:sz w:val="32"/>
          <w:lang w:val="zh-CN"/>
        </w:rPr>
        <w:t>”</w:t>
      </w:r>
      <w:r>
        <w:rPr>
          <w:rFonts w:hint="eastAsia" w:ascii="宋体" w:hAnsi="宋体"/>
          <w:color w:val="auto"/>
          <w:sz w:val="32"/>
          <w:lang w:val="zh-CN"/>
        </w:rPr>
        <w:t>。</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2.</w:t>
      </w:r>
      <w:r>
        <w:rPr>
          <w:rFonts w:hint="eastAsia" w:ascii="宋体" w:hAnsi="宋体"/>
          <w:color w:val="auto"/>
          <w:sz w:val="32"/>
          <w:lang w:val="zh-CN"/>
        </w:rPr>
        <w:t>树立健康意识。积极参加职业健康培训，学习和掌握与职业健康相关的各项制度、标准，了解工作场所存在的危害因素，掌握职业病危害防护知识、岗位操作规程、个人防护用品的正确佩戴和使用方法。</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3.</w:t>
      </w:r>
      <w:r>
        <w:rPr>
          <w:rFonts w:hint="eastAsia" w:ascii="宋体" w:hAnsi="宋体"/>
          <w:color w:val="auto"/>
          <w:sz w:val="32"/>
          <w:lang w:val="zh-CN"/>
        </w:rPr>
        <w:t>强化法律意识，知法、懂法。遵守职业病防治法律、法规、规章。接触职业病危害的劳动者，定期参加职业健康检查；罹患职业病的劳动者，建议及时诊断、治疗，保护自己的合法权益。</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4.</w:t>
      </w:r>
      <w:r>
        <w:rPr>
          <w:rFonts w:hint="eastAsia" w:ascii="宋体" w:hAnsi="宋体"/>
          <w:color w:val="auto"/>
          <w:sz w:val="32"/>
          <w:lang w:val="zh-CN"/>
        </w:rPr>
        <w:t>加强劳动过程防护。劳动者在生产环境中长期接触粉尘、化学危害因素、放射性危害因素、物理危害因素、生物危害因素等可能引起相关职业病。建议接触职业病危害因素的劳动者注意各类危害的防护，严格按照操作规程进行作业，并自觉、正确地佩戴个人职业病防护用品。</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5.</w:t>
      </w:r>
      <w:r>
        <w:rPr>
          <w:rFonts w:hint="eastAsia" w:ascii="宋体" w:hAnsi="宋体"/>
          <w:color w:val="auto"/>
          <w:sz w:val="32"/>
          <w:lang w:val="zh-CN"/>
        </w:rPr>
        <w:t>提升应急处置能力。学习掌握现场急救知识和急性危害的应急处置方法，能够做到正确的自救、互救。</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6.</w:t>
      </w:r>
      <w:r>
        <w:rPr>
          <w:rFonts w:hint="eastAsia" w:ascii="宋体" w:hAnsi="宋体"/>
          <w:color w:val="auto"/>
          <w:sz w:val="32"/>
          <w:lang w:val="zh-CN"/>
        </w:rPr>
        <w:t>加强防暑降温措施。建议高温作业、高温天气作业等劳动者注意预防中暑。可佩戴隔热面罩和穿着隔热、通风性能良好的防热服，注意使用空调等防暑降温设施进行降温。建议适量补充水、含食盐和水溶性维生素等防暑降温饮料。</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7.</w:t>
      </w:r>
      <w:r>
        <w:rPr>
          <w:rFonts w:hint="eastAsia" w:ascii="宋体" w:hAnsi="宋体"/>
          <w:color w:val="auto"/>
          <w:sz w:val="32"/>
          <w:lang w:val="zh-CN"/>
        </w:rPr>
        <w:t>长时间伏案低头工作或长期前倾坐姿职业人群的健康保护。应注意通过伸展活动等方式缓解肌肉紧张，避免颈椎病、肩周炎和腰背痛的发生。在伏案工作时，需注意保持正确坐姿，上身挺直；调整椅子的高低，使双脚刚好合适地平踩在地面上。长时间使用电脑的，工作时电脑的仰角应与使用者的视线相对，不宜过分低头或抬头，建议每隔</w:t>
      </w:r>
      <w:r>
        <w:rPr>
          <w:rFonts w:hint="default" w:ascii="Times New Roman" w:hAnsi="Times New Roman" w:eastAsia="Times New Roman"/>
          <w:color w:val="auto"/>
          <w:sz w:val="32"/>
          <w:lang w:val="en-US"/>
        </w:rPr>
        <w:t>1</w:t>
      </w:r>
      <w:r>
        <w:rPr>
          <w:rFonts w:hint="eastAsia" w:ascii="宋体" w:hAnsi="宋体"/>
          <w:color w:val="auto"/>
          <w:sz w:val="32"/>
          <w:lang w:val="zh-CN"/>
        </w:rPr>
        <w:t>～</w:t>
      </w:r>
      <w:r>
        <w:rPr>
          <w:rFonts w:hint="default" w:ascii="Times New Roman" w:hAnsi="Times New Roman" w:eastAsia="Times New Roman"/>
          <w:color w:val="auto"/>
          <w:sz w:val="32"/>
          <w:lang w:val="en-US"/>
        </w:rPr>
        <w:t>2</w:t>
      </w:r>
      <w:r>
        <w:rPr>
          <w:rFonts w:hint="eastAsia" w:ascii="宋体" w:hAnsi="宋体"/>
          <w:color w:val="auto"/>
          <w:sz w:val="32"/>
          <w:lang w:val="zh-CN"/>
        </w:rPr>
        <w:t>小时休息一段时间，向远处眺望，活动腰部和颈部，做眼保健操和工间操。</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8.</w:t>
      </w:r>
      <w:r>
        <w:rPr>
          <w:rFonts w:hint="eastAsia" w:ascii="宋体" w:hAnsi="宋体"/>
          <w:color w:val="auto"/>
          <w:sz w:val="32"/>
          <w:lang w:val="zh-CN"/>
        </w:rPr>
        <w:t>教师、交通警察、医生、护士等以站姿作业为主的职业人群的健康保护。站立时，建议两腿重心交替使用，防止静脉曲张，建议通过适当走动等方式保持腰部、膝盖放松，促进血液循环；长时间用嗓的，注意补充水分，常备润喉片，预防咽喉炎。</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9.</w:t>
      </w:r>
      <w:r>
        <w:rPr>
          <w:rFonts w:hint="eastAsia" w:ascii="宋体" w:hAnsi="宋体"/>
          <w:color w:val="auto"/>
          <w:sz w:val="32"/>
          <w:lang w:val="zh-CN"/>
        </w:rPr>
        <w:t>驾驶员等长时间固定体位作业职业人群的健康保护。建议合理安排作业时间，做到规律饮食，定时定量；保持正确的作业姿势，将座位调整至适当的位置，确保腰椎受力适度，并注意减少震动，避免颈椎病、肩周炎、骨质增生、坐骨神经痛等疾病的发生；作业期间注意间歇性休息，减少憋尿，严禁疲劳作业。</w:t>
      </w:r>
    </w:p>
    <w:p>
      <w:pPr>
        <w:spacing w:beforeLines="0" w:afterLines="0" w:line="600" w:lineRule="atLeast"/>
        <w:ind w:firstLine="643"/>
        <w:rPr>
          <w:rFonts w:hint="default" w:ascii="Times New Roman" w:hAnsi="Times New Roman" w:eastAsia="Times New Roman"/>
          <w:b/>
          <w:color w:val="auto"/>
          <w:sz w:val="32"/>
          <w:lang w:val="en-US"/>
        </w:rPr>
      </w:pPr>
      <w:r>
        <w:rPr>
          <w:rFonts w:hint="default" w:ascii="宋体" w:hAnsi="宋体"/>
          <w:b/>
          <w:color w:val="auto"/>
          <w:sz w:val="32"/>
          <w:lang w:val="zh-CN"/>
        </w:rPr>
        <w:t>——</w:t>
      </w:r>
      <w:r>
        <w:rPr>
          <w:rFonts w:hint="eastAsia" w:ascii="宋体" w:hAnsi="宋体"/>
          <w:b/>
          <w:color w:val="auto"/>
          <w:sz w:val="32"/>
          <w:lang w:val="zh-CN"/>
        </w:rPr>
        <w:t>用人单位：</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1.</w:t>
      </w:r>
      <w:r>
        <w:rPr>
          <w:rFonts w:hint="eastAsia" w:ascii="宋体" w:hAnsi="宋体"/>
          <w:color w:val="auto"/>
          <w:sz w:val="32"/>
          <w:lang w:val="zh-CN"/>
        </w:rPr>
        <w:t>鼓励用人单位为劳动者提供整洁卫生、绿色环保、舒适优美和人性化的工作环境，采取综合预防措施，尽可能减少各类危害因素对劳动者健康的影响，切实保护劳动者的健康权益。倡导用人单位评选</w:t>
      </w:r>
      <w:r>
        <w:rPr>
          <w:rFonts w:hint="default" w:ascii="宋体" w:hAnsi="宋体"/>
          <w:color w:val="auto"/>
          <w:sz w:val="32"/>
          <w:lang w:val="zh-CN"/>
        </w:rPr>
        <w:t>“</w:t>
      </w:r>
      <w:r>
        <w:rPr>
          <w:rFonts w:hint="eastAsia" w:ascii="宋体" w:hAnsi="宋体"/>
          <w:color w:val="auto"/>
          <w:sz w:val="32"/>
          <w:lang w:val="zh-CN"/>
        </w:rPr>
        <w:t>健康达人</w:t>
      </w:r>
      <w:r>
        <w:rPr>
          <w:rFonts w:hint="default" w:ascii="宋体" w:hAnsi="宋体"/>
          <w:color w:val="auto"/>
          <w:sz w:val="32"/>
          <w:lang w:val="zh-CN"/>
        </w:rPr>
        <w:t>”</w:t>
      </w:r>
      <w:r>
        <w:rPr>
          <w:rFonts w:hint="eastAsia" w:ascii="宋体" w:hAnsi="宋体"/>
          <w:color w:val="auto"/>
          <w:sz w:val="32"/>
          <w:lang w:val="zh-CN"/>
        </w:rPr>
        <w:t>，并给予奖励。</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2.</w:t>
      </w:r>
      <w:r>
        <w:rPr>
          <w:rFonts w:hint="eastAsia" w:ascii="宋体" w:hAnsi="宋体"/>
          <w:color w:val="auto"/>
          <w:sz w:val="32"/>
          <w:lang w:val="zh-CN"/>
        </w:rPr>
        <w:t>鼓励用人单位在适宜场所设置健康小贴士，为单位职工提供免费测量血压、体重、腰围等健康指标的场所和设施，一般情况下，开会时间超过</w:t>
      </w:r>
      <w:r>
        <w:rPr>
          <w:rFonts w:hint="default" w:ascii="Times New Roman" w:hAnsi="Times New Roman" w:eastAsia="Times New Roman"/>
          <w:color w:val="auto"/>
          <w:sz w:val="32"/>
          <w:lang w:val="en-US"/>
        </w:rPr>
        <w:t>2</w:t>
      </w:r>
      <w:r>
        <w:rPr>
          <w:rFonts w:hint="eastAsia" w:ascii="宋体" w:hAnsi="宋体"/>
          <w:color w:val="auto"/>
          <w:sz w:val="32"/>
          <w:lang w:val="zh-CN"/>
        </w:rPr>
        <w:t>小时安排休息</w:t>
      </w:r>
      <w:r>
        <w:rPr>
          <w:rFonts w:hint="default" w:ascii="Times New Roman" w:hAnsi="Times New Roman" w:eastAsia="Times New Roman"/>
          <w:color w:val="auto"/>
          <w:sz w:val="32"/>
          <w:lang w:val="en-US"/>
        </w:rPr>
        <w:t>10</w:t>
      </w:r>
      <w:r>
        <w:rPr>
          <w:rFonts w:hint="eastAsia" w:ascii="宋体" w:hAnsi="宋体"/>
          <w:color w:val="auto"/>
          <w:sz w:val="32"/>
          <w:lang w:val="zh-CN"/>
        </w:rPr>
        <w:t>～</w:t>
      </w:r>
      <w:r>
        <w:rPr>
          <w:rFonts w:hint="default" w:ascii="Times New Roman" w:hAnsi="Times New Roman" w:eastAsia="Times New Roman"/>
          <w:color w:val="auto"/>
          <w:sz w:val="32"/>
          <w:lang w:val="en-US"/>
        </w:rPr>
        <w:t>15</w:t>
      </w:r>
      <w:r>
        <w:rPr>
          <w:rFonts w:hint="eastAsia" w:ascii="宋体" w:hAnsi="宋体"/>
          <w:color w:val="auto"/>
          <w:sz w:val="32"/>
          <w:lang w:val="zh-CN"/>
        </w:rPr>
        <w:t>分钟。鼓励建立保护劳动者健康的相关制度，如：工间操制度、健身制度、无烟单位制度等。根据用人单位的职工人数和职业健康风险程度，依据有关标准设置医务室、紧急救援站、有毒气体防护站，配备急救箱等装备。</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3.</w:t>
      </w:r>
      <w:r>
        <w:rPr>
          <w:rFonts w:hint="eastAsia" w:ascii="宋体" w:hAnsi="宋体"/>
          <w:color w:val="auto"/>
          <w:sz w:val="32"/>
          <w:lang w:val="zh-CN"/>
        </w:rPr>
        <w:t>新建、扩建、改建建设项目和技术改造、技术引进项目可能产生职业病危害的，建设单位应当依法依规履行建设项目职业病防护措施</w:t>
      </w:r>
      <w:r>
        <w:rPr>
          <w:rFonts w:hint="default" w:ascii="宋体" w:hAnsi="宋体"/>
          <w:color w:val="auto"/>
          <w:sz w:val="32"/>
          <w:lang w:val="zh-CN"/>
        </w:rPr>
        <w:t>“</w:t>
      </w:r>
      <w:r>
        <w:rPr>
          <w:rFonts w:hint="eastAsia" w:ascii="宋体" w:hAnsi="宋体"/>
          <w:color w:val="auto"/>
          <w:sz w:val="32"/>
          <w:lang w:val="zh-CN"/>
        </w:rPr>
        <w:t>三同时</w:t>
      </w:r>
      <w:r>
        <w:rPr>
          <w:rFonts w:hint="default" w:ascii="宋体" w:hAnsi="宋体"/>
          <w:color w:val="auto"/>
          <w:sz w:val="32"/>
          <w:lang w:val="zh-CN"/>
        </w:rPr>
        <w:t>”</w:t>
      </w:r>
      <w:r>
        <w:rPr>
          <w:rFonts w:hint="eastAsia" w:ascii="宋体" w:hAnsi="宋体"/>
          <w:color w:val="auto"/>
          <w:sz w:val="32"/>
          <w:lang w:val="zh-CN"/>
        </w:rPr>
        <w:t>（即建设项目的职业病防护设施与主体工程同时设计、同时施工、同时投入生产和使用）制度。鼓励用人单位优先采用有利于防治职业病和保护员工健康的新技术、新工艺、新设备、新材料，不得生产、经营、进口和使用国家明令禁止使用的可能产生职业病危害的设备或材料。对长时间、高强度、重复用力、快速移动等作业方式，采取先进工艺技术、调整作息时间等措施，预防和控制过度疲劳和相关疾病发生。采取综合措施降低或消除工作压力，预防和控制其可能产生的不良健康影响。</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4.</w:t>
      </w:r>
      <w:r>
        <w:rPr>
          <w:rFonts w:hint="eastAsia" w:ascii="宋体" w:hAnsi="宋体"/>
          <w:color w:val="auto"/>
          <w:sz w:val="32"/>
          <w:lang w:val="zh-CN"/>
        </w:rPr>
        <w:t>产生职业病危害的用人单位应加强职业病危害项目申报、日常监测、定期检测与评价，在醒目位置设置公告栏，公布工作场所职业病危害因素检测结果和职业病危害事故应急救援措施等内容，对产生严重职业病危害的作业岗位，应当在其醒目位置，设置警示标识和中文警示说明。</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5.</w:t>
      </w:r>
      <w:r>
        <w:rPr>
          <w:rFonts w:hint="eastAsia" w:ascii="宋体" w:hAnsi="宋体"/>
          <w:color w:val="auto"/>
          <w:sz w:val="32"/>
          <w:lang w:val="zh-CN"/>
        </w:rPr>
        <w:t>产生职业病危害的用人单位应建立职业病防治管理责任制，健全岗位责任体系，做到责任到位、投入到位、监管到位、防护到位、应急救援到位。用人单位应当根据存在的危害因素，设置或者指定职业卫生管理机构，配备专兼职的职业卫生管理人员，开展职业病防治、职业健康指导和管理工作。</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6.</w:t>
      </w:r>
      <w:r>
        <w:rPr>
          <w:rFonts w:hint="eastAsia" w:ascii="宋体" w:hAnsi="宋体"/>
          <w:color w:val="auto"/>
          <w:sz w:val="32"/>
          <w:lang w:val="zh-CN"/>
        </w:rPr>
        <w:t>用人单位应建立完善的职业健康监护制度，依法组织劳动者进行职业健康检查，配合开展职业病诊断与鉴定等工作。对女职工定期进行妇科疾病及乳腺疾病的查治。</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7.</w:t>
      </w:r>
      <w:r>
        <w:rPr>
          <w:rFonts w:hint="eastAsia" w:ascii="宋体" w:hAnsi="宋体"/>
          <w:color w:val="auto"/>
          <w:sz w:val="32"/>
          <w:lang w:val="zh-CN"/>
        </w:rPr>
        <w:t>用人单位应规范劳动用工管理，依法与劳动者签订劳动合同，合同中应明确劳动保护、劳动条件和职业病危害防护、女职工劳动保护及女职工禁忌劳动岗位等内容。用人单位应当保证劳动者休息时间，依法安排劳动者休假，落实女职工产假、产前检查及哺乳时间，杜绝违法加班；要依法按时足额缴纳工伤保险费。鼓励用人单位组建健康指导人员队伍，开展职工健康指导和管理工作。</w:t>
      </w:r>
      <w:r>
        <w:rPr>
          <w:rFonts w:hint="default" w:ascii="Times New Roman" w:hAnsi="Times New Roman" w:eastAsia="Times New Roman"/>
          <w:color w:val="auto"/>
          <w:sz w:val="32"/>
          <w:lang w:val="en-US"/>
        </w:rPr>
        <w:t xml:space="preserve">                                                                                                                                         </w:t>
      </w:r>
    </w:p>
    <w:p>
      <w:pPr>
        <w:spacing w:beforeLines="0" w:afterLines="0" w:line="600" w:lineRule="atLeast"/>
        <w:ind w:firstLine="643"/>
        <w:rPr>
          <w:rFonts w:hint="default" w:ascii="Times New Roman" w:hAnsi="Times New Roman" w:eastAsia="Times New Roman"/>
          <w:b/>
          <w:color w:val="auto"/>
          <w:sz w:val="32"/>
          <w:lang w:val="en-US"/>
        </w:rPr>
      </w:pPr>
      <w:r>
        <w:rPr>
          <w:rFonts w:hint="default" w:ascii="宋体" w:hAnsi="宋体"/>
          <w:b/>
          <w:color w:val="auto"/>
          <w:sz w:val="32"/>
          <w:lang w:val="zh-CN"/>
        </w:rPr>
        <w:t>——</w:t>
      </w:r>
      <w:r>
        <w:rPr>
          <w:rFonts w:hint="eastAsia" w:ascii="宋体" w:hAnsi="宋体"/>
          <w:b/>
          <w:color w:val="auto"/>
          <w:sz w:val="32"/>
          <w:lang w:val="zh-CN"/>
        </w:rPr>
        <w:t>政府：</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1.</w:t>
      </w:r>
      <w:r>
        <w:rPr>
          <w:rFonts w:hint="eastAsia" w:ascii="宋体" w:hAnsi="宋体"/>
          <w:color w:val="auto"/>
          <w:sz w:val="32"/>
          <w:lang w:val="zh-CN"/>
        </w:rPr>
        <w:t>研究修订《中华人民共和国职业病防治法》等法律法规，制修订职业病防治部门规章。梳理、分析、评估现有职业健康标准，以防尘、防毒、防噪声、防辐射为重点，以强制性标准为核心，研究制定、修订出台更严格、有效的国家职业健康标准和措施，完善职业病防治法规标准体系。加强对新型职业危害的研究识别、评价与控制，组织开展相关调查，研究制定规范标准，提出防范措施，适时纳入法定管理，以应对产业转型、技术进步可能产生的职业健康新问题。（卫生健康委牵头，科技部、司法部、市场监管总局按职责分工负责）</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2.</w:t>
      </w:r>
      <w:r>
        <w:rPr>
          <w:rFonts w:hint="eastAsia" w:ascii="宋体" w:hAnsi="宋体"/>
          <w:color w:val="auto"/>
          <w:sz w:val="32"/>
          <w:lang w:val="zh-CN"/>
        </w:rPr>
        <w:t>研发、推广有利于保护劳动者健康的新技术、新工艺、新设备和新材料。以职业性尘肺病、噪声聋、化学中毒为重点，在矿山、建材、金属冶炼、化工等行业领域开展专项治理。严格源头控制，引导职业病危害严重的用人单位进行技术改造和转型升级。推动各行业协会制订并实施职业健康守则。（卫生健康委牵头，发展改革委、科技部、工业和信息化部、国务院国资委按职责分工负责）</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3.</w:t>
      </w:r>
      <w:r>
        <w:rPr>
          <w:rFonts w:hint="eastAsia" w:ascii="宋体" w:hAnsi="宋体"/>
          <w:color w:val="auto"/>
          <w:sz w:val="32"/>
          <w:lang w:val="zh-CN"/>
        </w:rPr>
        <w:t>完善职业病防治技术支撑体系，按照区域覆盖、合理配置的原则，加强职业病防治机构建设，做到布局合理、功能健全。设区的市至少有</w:t>
      </w:r>
      <w:r>
        <w:rPr>
          <w:rFonts w:hint="default" w:ascii="Times New Roman" w:hAnsi="Times New Roman" w:eastAsia="Times New Roman"/>
          <w:color w:val="auto"/>
          <w:sz w:val="32"/>
          <w:lang w:val="en-US"/>
        </w:rPr>
        <w:t>1</w:t>
      </w:r>
      <w:r>
        <w:rPr>
          <w:rFonts w:hint="eastAsia" w:ascii="宋体" w:hAnsi="宋体"/>
          <w:color w:val="auto"/>
          <w:sz w:val="32"/>
          <w:lang w:val="zh-CN"/>
        </w:rPr>
        <w:t>家医疗卫生机构承担本辖区内职业病诊断工作，县级行政区域原则上至少有</w:t>
      </w:r>
      <w:r>
        <w:rPr>
          <w:rFonts w:hint="default" w:ascii="Times New Roman" w:hAnsi="Times New Roman" w:eastAsia="Times New Roman"/>
          <w:color w:val="auto"/>
          <w:sz w:val="32"/>
          <w:lang w:val="en-US"/>
        </w:rPr>
        <w:t>1</w:t>
      </w:r>
      <w:r>
        <w:rPr>
          <w:rFonts w:hint="eastAsia" w:ascii="宋体" w:hAnsi="宋体"/>
          <w:color w:val="auto"/>
          <w:sz w:val="32"/>
          <w:lang w:val="zh-CN"/>
        </w:rPr>
        <w:t>家医疗卫生机构承担本辖区职业健康检查工作。充分发挥各类职业病防治机构在职业健康检查、职业病诊断和治疗康复、职业病危害监测评价、职业健康风险评估等方面的作用，健全分工协作、上下联动的工作机制。加强专业人才队伍建设，鼓励高等院校扩大职业卫生及相关专业招生规模。推动企业职业健康管理队伍建设，提升企业职业健康管理能力。（卫生健康委牵头，发展改革委、教育部、财政部、人力资源社会保障部按职责分工负责）</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4.</w:t>
      </w:r>
      <w:r>
        <w:rPr>
          <w:rFonts w:hint="eastAsia" w:ascii="宋体" w:hAnsi="宋体"/>
          <w:color w:val="auto"/>
          <w:sz w:val="32"/>
          <w:lang w:val="zh-CN"/>
        </w:rPr>
        <w:t>加强职业健康监管体系建设，健全职业健康监管执法队伍，重点加强县（区）、乡镇（街道）等基层执法力量，加强执法装备建设。加大用人单位监管力度，督促用人单位切实落实职业病防治主体责任。（卫生健康委牵头，发展改革委、财政部按职责分工负责）</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5.</w:t>
      </w:r>
      <w:r>
        <w:rPr>
          <w:rFonts w:hint="eastAsia" w:ascii="宋体" w:hAnsi="宋体"/>
          <w:color w:val="auto"/>
          <w:sz w:val="32"/>
          <w:lang w:val="zh-CN"/>
        </w:rPr>
        <w:t>以农民工尘肺病为切入点，进一步加强对劳务派遣用工单位职业病防治工作的监督检查，优化职业病诊断程序和服务流程，提高服务质量。对加入工伤保险的尘肺病患者，加大保障力度；对未参加工伤保险的，按规定通过医疗保险、医疗救助等保障其医疗保障合法权益。加强部门间信息共享利用，及时交流用人单位职业病危害、劳动者职业健康和工伤保险等信息数据。（卫生健康委牵头，发展改革委、民政部、人力资源社会保障部、医保局按职责分工负责）</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6.</w:t>
      </w:r>
      <w:r>
        <w:rPr>
          <w:rFonts w:hint="eastAsia" w:ascii="宋体" w:hAnsi="宋体"/>
          <w:color w:val="auto"/>
          <w:sz w:val="32"/>
          <w:lang w:val="zh-CN"/>
        </w:rPr>
        <w:t>改进职业病危害项目申报工作，建立统一、高效的监督执法信息管理机制。建立完善工作场所职业病危害因素检测、监测和职业病报告网络。适时开展工作场所职业病危害因素监测和职业病专项调查，系统收集相关信息。开展</w:t>
      </w:r>
      <w:r>
        <w:rPr>
          <w:rFonts w:hint="default" w:ascii="宋体" w:hAnsi="宋体"/>
          <w:color w:val="auto"/>
          <w:sz w:val="32"/>
          <w:lang w:val="zh-CN"/>
        </w:rPr>
        <w:t>“</w:t>
      </w:r>
      <w:r>
        <w:rPr>
          <w:rFonts w:hint="eastAsia" w:ascii="宋体" w:hAnsi="宋体"/>
          <w:color w:val="auto"/>
          <w:sz w:val="32"/>
          <w:lang w:val="zh-CN"/>
        </w:rPr>
        <w:t>互联网</w:t>
      </w:r>
      <w:r>
        <w:rPr>
          <w:rFonts w:hint="default" w:ascii="Times New Roman" w:hAnsi="Times New Roman" w:eastAsia="Times New Roman"/>
          <w:color w:val="auto"/>
          <w:sz w:val="32"/>
          <w:lang w:val="en-US"/>
        </w:rPr>
        <w:t>+</w:t>
      </w:r>
      <w:r>
        <w:rPr>
          <w:rFonts w:hint="eastAsia" w:ascii="宋体" w:hAnsi="宋体"/>
          <w:color w:val="auto"/>
          <w:sz w:val="32"/>
          <w:lang w:val="zh-CN"/>
        </w:rPr>
        <w:t>职业健康</w:t>
      </w:r>
      <w:r>
        <w:rPr>
          <w:rFonts w:hint="default" w:ascii="宋体" w:hAnsi="宋体"/>
          <w:color w:val="auto"/>
          <w:sz w:val="32"/>
          <w:lang w:val="zh-CN"/>
        </w:rPr>
        <w:t>”</w:t>
      </w:r>
      <w:r>
        <w:rPr>
          <w:rFonts w:hint="eastAsia" w:ascii="宋体" w:hAnsi="宋体"/>
          <w:color w:val="auto"/>
          <w:sz w:val="32"/>
          <w:lang w:val="zh-CN"/>
        </w:rPr>
        <w:t>信息化建设，建立职业卫生和放射卫生大数据平台，利用信息化提高监管效率。（卫生健康委牵头，发展改革委、财政部按职责分工负责）</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7.</w:t>
      </w:r>
      <w:r>
        <w:rPr>
          <w:rFonts w:hint="eastAsia" w:ascii="宋体" w:hAnsi="宋体"/>
          <w:color w:val="auto"/>
          <w:sz w:val="32"/>
          <w:lang w:val="zh-CN"/>
        </w:rPr>
        <w:t>将</w:t>
      </w:r>
      <w:r>
        <w:rPr>
          <w:rFonts w:hint="default" w:ascii="宋体" w:hAnsi="宋体"/>
          <w:color w:val="auto"/>
          <w:sz w:val="32"/>
          <w:lang w:val="zh-CN"/>
        </w:rPr>
        <w:t>“</w:t>
      </w:r>
      <w:r>
        <w:rPr>
          <w:rFonts w:hint="eastAsia" w:ascii="宋体" w:hAnsi="宋体"/>
          <w:color w:val="auto"/>
          <w:sz w:val="32"/>
          <w:lang w:val="zh-CN"/>
        </w:rPr>
        <w:t>健康企业</w:t>
      </w:r>
      <w:r>
        <w:rPr>
          <w:rFonts w:hint="default" w:ascii="宋体" w:hAnsi="宋体"/>
          <w:color w:val="auto"/>
          <w:sz w:val="32"/>
          <w:lang w:val="zh-CN"/>
        </w:rPr>
        <w:t>”</w:t>
      </w:r>
      <w:r>
        <w:rPr>
          <w:rFonts w:hint="eastAsia" w:ascii="宋体" w:hAnsi="宋体"/>
          <w:color w:val="auto"/>
          <w:sz w:val="32"/>
          <w:lang w:val="zh-CN"/>
        </w:rPr>
        <w:t>建设作为健康城市建设的重要内容，逐步拓宽丰富职业健康范围，积极研究将工作压力、肌肉骨骼疾病等新职业病危害纳入保护范围。推进企业依法履行职业病防治等相关法定责任和义务，营造企业健康文化，履行企业社会责任，有效保障劳动者的健康和福祉。（卫生健康委牵头，人力资源社会保障部、国务院国资委、全国总工会、全国妇联按职责分工负责）</w:t>
      </w:r>
    </w:p>
    <w:p>
      <w:pPr>
        <w:spacing w:beforeLines="0" w:afterLines="0" w:line="600" w:lineRule="atLeast"/>
        <w:ind w:firstLine="643"/>
        <w:rPr>
          <w:rFonts w:hint="default" w:ascii="Times New Roman" w:hAnsi="Times New Roman" w:eastAsia="Times New Roman"/>
          <w:b/>
          <w:color w:val="auto"/>
          <w:sz w:val="32"/>
          <w:lang w:val="en-US"/>
        </w:rPr>
      </w:pPr>
      <w:r>
        <w:rPr>
          <w:rFonts w:hint="eastAsia" w:ascii="宋体" w:hAnsi="宋体"/>
          <w:b/>
          <w:color w:val="auto"/>
          <w:sz w:val="32"/>
          <w:lang w:val="zh-CN"/>
        </w:rPr>
        <w:t>（十）老年健康促进行动。</w:t>
      </w:r>
    </w:p>
    <w:p>
      <w:pPr>
        <w:spacing w:beforeLines="0" w:afterLines="0" w:line="600" w:lineRule="atLeast"/>
        <w:ind w:firstLine="640"/>
        <w:rPr>
          <w:rFonts w:hint="default" w:ascii="Times New Roman" w:hAnsi="Times New Roman" w:eastAsia="Times New Roman"/>
          <w:color w:val="auto"/>
          <w:sz w:val="32"/>
          <w:lang w:val="en-US"/>
        </w:rPr>
      </w:pPr>
      <w:r>
        <w:rPr>
          <w:rFonts w:hint="eastAsia" w:ascii="宋体" w:hAnsi="宋体"/>
          <w:color w:val="auto"/>
          <w:sz w:val="32"/>
          <w:lang w:val="zh-CN"/>
        </w:rPr>
        <w:t>我国是世界上老年人口最多的国家。</w:t>
      </w:r>
      <w:r>
        <w:rPr>
          <w:rFonts w:hint="eastAsia" w:ascii="仿宋" w:hAnsi="仿宋" w:eastAsia="仿宋"/>
          <w:color w:val="000000"/>
          <w:sz w:val="32"/>
          <w:lang w:val="zh-CN"/>
        </w:rPr>
        <w:t>截至2018年底，我国60岁及以上老年人口约2.49亿，占总人口的17.9%；65岁及以上人口约1.67亿，占总人口的11.9%</w:t>
      </w:r>
      <w:r>
        <w:rPr>
          <w:rFonts w:hint="eastAsia" w:ascii="仿宋" w:hAnsi="仿宋" w:eastAsia="仿宋"/>
          <w:color w:val="auto"/>
          <w:sz w:val="32"/>
          <w:lang w:val="zh-CN"/>
        </w:rPr>
        <w:t>。我国老年人整体健康状况不容乐观，近</w:t>
      </w:r>
      <w:r>
        <w:rPr>
          <w:rFonts w:hint="default" w:ascii="Times New Roman" w:hAnsi="Times New Roman" w:eastAsia="Times New Roman"/>
          <w:color w:val="auto"/>
          <w:sz w:val="32"/>
          <w:lang w:val="en-US"/>
        </w:rPr>
        <w:t>1.8</w:t>
      </w:r>
      <w:r>
        <w:rPr>
          <w:rFonts w:hint="eastAsia" w:ascii="仿宋" w:hAnsi="仿宋" w:eastAsia="仿宋"/>
          <w:color w:val="auto"/>
          <w:sz w:val="32"/>
          <w:lang w:val="zh-CN"/>
        </w:rPr>
        <w:t>亿老年人患有慢性病，患有一种及以上慢性病的比例高达</w:t>
      </w:r>
      <w:r>
        <w:rPr>
          <w:rFonts w:hint="default" w:ascii="Times New Roman" w:hAnsi="Times New Roman" w:eastAsia="Times New Roman"/>
          <w:color w:val="auto"/>
          <w:sz w:val="32"/>
          <w:lang w:val="en-US"/>
        </w:rPr>
        <w:t>75%</w:t>
      </w:r>
      <w:r>
        <w:rPr>
          <w:rFonts w:hint="eastAsia" w:ascii="仿宋" w:hAnsi="仿宋" w:eastAsia="仿宋"/>
          <w:color w:val="auto"/>
          <w:sz w:val="32"/>
          <w:lang w:val="zh-CN"/>
        </w:rPr>
        <w:t>。失能、部分失能老年人约</w:t>
      </w:r>
      <w:r>
        <w:rPr>
          <w:rFonts w:hint="default" w:ascii="Times New Roman" w:hAnsi="Times New Roman" w:eastAsia="Times New Roman"/>
          <w:color w:val="auto"/>
          <w:sz w:val="32"/>
          <w:lang w:val="en-US"/>
        </w:rPr>
        <w:t>4000</w:t>
      </w:r>
      <w:r>
        <w:rPr>
          <w:rFonts w:hint="eastAsia" w:ascii="仿宋" w:hAnsi="仿宋" w:eastAsia="仿宋"/>
          <w:color w:val="auto"/>
          <w:sz w:val="32"/>
          <w:lang w:val="zh-CN"/>
        </w:rPr>
        <w:t>万。开展老年健康促进行动，对于提高老年人的健康水平、改善老年人生活质量、实现健康老龄化具有重要意义。</w:t>
      </w:r>
    </w:p>
    <w:p>
      <w:pPr>
        <w:spacing w:beforeLines="0" w:afterLines="0" w:line="600" w:lineRule="atLeast"/>
        <w:ind w:firstLine="640"/>
        <w:rPr>
          <w:rFonts w:hint="default" w:ascii="Times New Roman" w:hAnsi="Times New Roman" w:eastAsia="Times New Roman"/>
          <w:color w:val="auto"/>
          <w:sz w:val="32"/>
          <w:lang w:val="en-US"/>
        </w:rPr>
      </w:pPr>
      <w:r>
        <w:rPr>
          <w:rFonts w:hint="eastAsia" w:ascii="宋体" w:hAnsi="宋体"/>
          <w:color w:val="auto"/>
          <w:sz w:val="32"/>
          <w:lang w:val="zh-CN"/>
        </w:rPr>
        <w:t>行动目标：</w:t>
      </w:r>
    </w:p>
    <w:p>
      <w:pPr>
        <w:spacing w:beforeLines="0" w:afterLines="0" w:line="600" w:lineRule="atLeast"/>
        <w:ind w:firstLine="640"/>
        <w:rPr>
          <w:rFonts w:hint="default" w:ascii="Times New Roman" w:hAnsi="Times New Roman" w:eastAsia="Times New Roman"/>
          <w:color w:val="auto"/>
          <w:sz w:val="32"/>
          <w:lang w:val="en-US"/>
        </w:rPr>
      </w:pPr>
      <w:r>
        <w:rPr>
          <w:rFonts w:hint="eastAsia" w:ascii="宋体" w:hAnsi="宋体"/>
          <w:color w:val="auto"/>
          <w:sz w:val="32"/>
          <w:lang w:val="zh-CN"/>
        </w:rPr>
        <w:t>到</w:t>
      </w:r>
      <w:r>
        <w:rPr>
          <w:rFonts w:hint="default" w:ascii="Times New Roman" w:hAnsi="Times New Roman" w:eastAsia="Times New Roman"/>
          <w:color w:val="auto"/>
          <w:sz w:val="32"/>
          <w:lang w:val="en-US"/>
        </w:rPr>
        <w:t>2022</w:t>
      </w:r>
      <w:r>
        <w:rPr>
          <w:rFonts w:hint="eastAsia" w:ascii="宋体" w:hAnsi="宋体"/>
          <w:color w:val="auto"/>
          <w:sz w:val="32"/>
          <w:lang w:val="zh-CN"/>
        </w:rPr>
        <w:t>年和</w:t>
      </w:r>
      <w:r>
        <w:rPr>
          <w:rFonts w:hint="default" w:ascii="Times New Roman" w:hAnsi="Times New Roman" w:eastAsia="Times New Roman"/>
          <w:color w:val="auto"/>
          <w:sz w:val="32"/>
          <w:lang w:val="en-US"/>
        </w:rPr>
        <w:t>2030</w:t>
      </w:r>
      <w:r>
        <w:rPr>
          <w:rFonts w:hint="eastAsia" w:ascii="宋体" w:hAnsi="宋体"/>
          <w:color w:val="auto"/>
          <w:sz w:val="32"/>
          <w:lang w:val="zh-CN"/>
        </w:rPr>
        <w:t>年，</w:t>
      </w:r>
      <w:r>
        <w:rPr>
          <w:rFonts w:hint="default" w:ascii="Times New Roman" w:hAnsi="Times New Roman" w:eastAsia="Times New Roman"/>
          <w:color w:val="auto"/>
          <w:sz w:val="32"/>
          <w:lang w:val="en-US"/>
        </w:rPr>
        <w:t>65</w:t>
      </w:r>
      <w:r>
        <w:rPr>
          <w:rFonts w:hint="eastAsia" w:ascii="宋体" w:hAnsi="宋体"/>
          <w:color w:val="auto"/>
          <w:sz w:val="32"/>
          <w:lang w:val="zh-CN"/>
        </w:rPr>
        <w:t>～</w:t>
      </w:r>
      <w:r>
        <w:rPr>
          <w:rFonts w:hint="default" w:ascii="Times New Roman" w:hAnsi="Times New Roman" w:eastAsia="Times New Roman"/>
          <w:color w:val="auto"/>
          <w:sz w:val="32"/>
          <w:lang w:val="en-US"/>
        </w:rPr>
        <w:t>74</w:t>
      </w:r>
      <w:r>
        <w:rPr>
          <w:rFonts w:hint="eastAsia" w:ascii="宋体" w:hAnsi="宋体"/>
          <w:color w:val="auto"/>
          <w:sz w:val="32"/>
          <w:lang w:val="zh-CN"/>
        </w:rPr>
        <w:t>岁老年人失能发生率有所下降；</w:t>
      </w:r>
      <w:r>
        <w:rPr>
          <w:rFonts w:hint="default" w:ascii="Times New Roman" w:hAnsi="Times New Roman" w:eastAsia="Times New Roman"/>
          <w:color w:val="auto"/>
          <w:sz w:val="32"/>
          <w:lang w:val="en-US"/>
        </w:rPr>
        <w:t>65</w:t>
      </w:r>
      <w:r>
        <w:rPr>
          <w:rFonts w:hint="eastAsia" w:ascii="宋体" w:hAnsi="宋体"/>
          <w:color w:val="auto"/>
          <w:sz w:val="32"/>
          <w:lang w:val="zh-CN"/>
        </w:rPr>
        <w:t>岁及以上人群老年期痴呆患病率增速下降；二级以上综合性医院设老年医学科比例分别达到</w:t>
      </w:r>
      <w:r>
        <w:rPr>
          <w:rFonts w:hint="default" w:ascii="Times New Roman" w:hAnsi="Times New Roman" w:eastAsia="Times New Roman"/>
          <w:color w:val="auto"/>
          <w:sz w:val="32"/>
          <w:lang w:val="en-US"/>
        </w:rPr>
        <w:t>50%</w:t>
      </w:r>
      <w:r>
        <w:rPr>
          <w:rFonts w:hint="eastAsia" w:ascii="宋体" w:hAnsi="宋体"/>
          <w:color w:val="auto"/>
          <w:sz w:val="32"/>
          <w:lang w:val="zh-CN"/>
        </w:rPr>
        <w:t>及以上和</w:t>
      </w:r>
      <w:r>
        <w:rPr>
          <w:rFonts w:hint="default" w:ascii="Times New Roman" w:hAnsi="Times New Roman" w:eastAsia="Times New Roman"/>
          <w:color w:val="auto"/>
          <w:sz w:val="32"/>
          <w:lang w:val="en-US"/>
        </w:rPr>
        <w:t>90%</w:t>
      </w:r>
      <w:r>
        <w:rPr>
          <w:rFonts w:hint="eastAsia" w:ascii="宋体" w:hAnsi="宋体"/>
          <w:color w:val="auto"/>
          <w:sz w:val="32"/>
          <w:lang w:val="zh-CN"/>
        </w:rPr>
        <w:t>及以上；三级中医医院设置康复科比例分别达到</w:t>
      </w:r>
      <w:r>
        <w:rPr>
          <w:rFonts w:hint="default" w:ascii="Times New Roman" w:hAnsi="Times New Roman" w:eastAsia="Times New Roman"/>
          <w:color w:val="auto"/>
          <w:sz w:val="32"/>
          <w:lang w:val="en-US"/>
        </w:rPr>
        <w:t>75%</w:t>
      </w:r>
      <w:r>
        <w:rPr>
          <w:rFonts w:hint="eastAsia" w:ascii="宋体" w:hAnsi="宋体"/>
          <w:color w:val="auto"/>
          <w:sz w:val="32"/>
          <w:lang w:val="zh-CN"/>
        </w:rPr>
        <w:t>和</w:t>
      </w:r>
      <w:r>
        <w:rPr>
          <w:rFonts w:hint="default" w:ascii="Times New Roman" w:hAnsi="Times New Roman" w:eastAsia="Times New Roman"/>
          <w:color w:val="auto"/>
          <w:sz w:val="32"/>
          <w:lang w:val="en-US"/>
        </w:rPr>
        <w:t>90%</w:t>
      </w:r>
      <w:r>
        <w:rPr>
          <w:rFonts w:hint="eastAsia" w:ascii="宋体" w:hAnsi="宋体"/>
          <w:color w:val="auto"/>
          <w:sz w:val="32"/>
          <w:lang w:val="zh-CN"/>
        </w:rPr>
        <w:t>；养老机构以不同形式为入住老年人提供医疗卫生服务比例、医疗机构为老年人提供挂号就医等便利服务绿色通道比例分别达到</w:t>
      </w:r>
      <w:r>
        <w:rPr>
          <w:rFonts w:hint="default" w:ascii="Times New Roman" w:hAnsi="Times New Roman" w:eastAsia="Times New Roman"/>
          <w:color w:val="auto"/>
          <w:sz w:val="32"/>
          <w:lang w:val="en-US"/>
        </w:rPr>
        <w:t>100%</w:t>
      </w:r>
      <w:r>
        <w:rPr>
          <w:rFonts w:hint="eastAsia" w:ascii="宋体" w:hAnsi="宋体"/>
          <w:color w:val="auto"/>
          <w:sz w:val="32"/>
          <w:lang w:val="zh-CN"/>
        </w:rPr>
        <w:t>；加强社区日间照料中心等社区养老机构建设，为居家养老提供依托；逐步建立支持家庭养老的政策体系，支持成年子女和老年父母共同生活，推动夯实居家社区养老服务基础</w:t>
      </w:r>
      <w:r>
        <w:rPr>
          <w:rFonts w:hint="default" w:ascii="Times New Roman" w:hAnsi="Times New Roman" w:eastAsia="Times New Roman"/>
          <w:color w:val="auto"/>
          <w:sz w:val="32"/>
          <w:lang w:val="en-US"/>
        </w:rPr>
        <w:t xml:space="preserve"> </w:t>
      </w:r>
      <w:r>
        <w:rPr>
          <w:rFonts w:hint="eastAsia" w:ascii="宋体" w:hAnsi="宋体"/>
          <w:color w:val="auto"/>
          <w:sz w:val="32"/>
          <w:lang w:val="zh-CN"/>
        </w:rPr>
        <w:t>。</w:t>
      </w:r>
    </w:p>
    <w:p>
      <w:pPr>
        <w:spacing w:beforeLines="0" w:afterLines="0" w:line="600" w:lineRule="atLeast"/>
        <w:ind w:firstLine="640"/>
        <w:rPr>
          <w:rFonts w:hint="default" w:ascii="Times New Roman" w:hAnsi="Times New Roman" w:eastAsia="Times New Roman"/>
          <w:color w:val="auto"/>
          <w:sz w:val="32"/>
          <w:lang w:val="en-US"/>
        </w:rPr>
      </w:pPr>
      <w:r>
        <w:rPr>
          <w:rFonts w:hint="eastAsia" w:ascii="宋体" w:hAnsi="宋体"/>
          <w:color w:val="auto"/>
          <w:sz w:val="32"/>
          <w:lang w:val="zh-CN"/>
        </w:rPr>
        <w:t>提倡老年人知晓健康核心信息；老年人参加定期体检，经常监测呼吸、脉搏、血压、大小便情况，接受家庭医生团队的健康指导；鼓励和支持老年大学、老年活动中心、基层老年协会、有资质的社会组织等为老年人组织开展健康活动；鼓励和支持社会力量参与、兴办居家养老服务机构。</w:t>
      </w:r>
    </w:p>
    <w:p>
      <w:pPr>
        <w:tabs>
          <w:tab w:val="left" w:pos="3686"/>
        </w:tabs>
        <w:spacing w:beforeLines="0" w:afterLines="0" w:line="600" w:lineRule="atLeast"/>
        <w:ind w:firstLine="643"/>
        <w:rPr>
          <w:rFonts w:hint="default" w:ascii="Times New Roman" w:hAnsi="Times New Roman" w:eastAsia="Times New Roman"/>
          <w:b/>
          <w:color w:val="auto"/>
          <w:sz w:val="32"/>
          <w:lang w:val="en-US"/>
        </w:rPr>
      </w:pPr>
      <w:r>
        <w:rPr>
          <w:rFonts w:hint="default" w:ascii="宋体" w:hAnsi="宋体"/>
          <w:b/>
          <w:color w:val="auto"/>
          <w:sz w:val="32"/>
          <w:lang w:val="zh-CN"/>
        </w:rPr>
        <w:t>——</w:t>
      </w:r>
      <w:r>
        <w:rPr>
          <w:rFonts w:hint="eastAsia" w:ascii="宋体" w:hAnsi="宋体"/>
          <w:b/>
          <w:color w:val="auto"/>
          <w:sz w:val="32"/>
          <w:lang w:val="zh-CN"/>
        </w:rPr>
        <w:t>个人和家庭：</w:t>
      </w:r>
      <w:r>
        <w:rPr>
          <w:rFonts w:hint="default" w:ascii="Times New Roman" w:hAnsi="Times New Roman" w:eastAsia="Times New Roman"/>
          <w:b/>
          <w:color w:val="auto"/>
          <w:sz w:val="32"/>
          <w:lang w:val="en-US"/>
        </w:rPr>
        <w:tab/>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1.</w:t>
      </w:r>
      <w:r>
        <w:rPr>
          <w:rFonts w:hint="eastAsia" w:ascii="宋体" w:hAnsi="宋体"/>
          <w:color w:val="auto"/>
          <w:sz w:val="32"/>
          <w:lang w:val="zh-CN"/>
        </w:rPr>
        <w:t>改善营养状况。主动学习老年人膳食知识，精心设计膳食，选择营养食品，保证食物摄入量充足，吃足量的鱼、虾、瘦肉、鸡蛋、牛奶、大豆及豆制品，多晒太阳，适量运动，有意识地预防营养缺乏，延缓肌肉衰减和骨质疏松。老年人的体重指数（</w:t>
      </w:r>
      <w:r>
        <w:rPr>
          <w:rFonts w:hint="default" w:ascii="Times New Roman" w:hAnsi="Times New Roman" w:eastAsia="Times New Roman"/>
          <w:color w:val="auto"/>
          <w:sz w:val="32"/>
          <w:lang w:val="en-US"/>
        </w:rPr>
        <w:t>BMI</w:t>
      </w:r>
      <w:r>
        <w:rPr>
          <w:rFonts w:hint="eastAsia" w:ascii="宋体" w:hAnsi="宋体"/>
          <w:color w:val="auto"/>
          <w:sz w:val="32"/>
          <w:lang w:val="zh-CN"/>
        </w:rPr>
        <w:t>）在全人群正常值偏高的一侧为宜，消瘦的老年人可采用多种方法增加食欲和进食量，吃好三餐，合理加餐。消化能力明显降低的老年人宜制作细软食物，少量多餐。</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2.</w:t>
      </w:r>
      <w:r>
        <w:rPr>
          <w:rFonts w:hint="eastAsia" w:ascii="宋体" w:hAnsi="宋体"/>
          <w:color w:val="auto"/>
          <w:sz w:val="32"/>
          <w:lang w:val="zh-CN"/>
        </w:rPr>
        <w:t>加强体育锻炼。选择与自身体质和健康状况相适应的运动方式，量力而行地进行体育锻炼。在重视有氧运动的同时，重视肌肉力量练习和柔韧性锻炼，适当进行平衡能力锻炼，强健骨骼肌肉系统，预防跌倒。参加运动期间，建议根据身体健康状况及时调整运动量。</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3.</w:t>
      </w:r>
      <w:r>
        <w:rPr>
          <w:rFonts w:hint="eastAsia" w:ascii="宋体" w:hAnsi="宋体"/>
          <w:color w:val="auto"/>
          <w:sz w:val="32"/>
          <w:lang w:val="zh-CN"/>
        </w:rPr>
        <w:t>参加定期体检。经常监测呼吸、脉搏、血压、大小便情况，发现异常情况及时做好记录，必要时就诊。积极配合家庭医生团队完成健康状况评估、体格检查、辅助检查，了解自身脑、心、肺、胃、肝、肾等主要器官的功能情况，接受家庭医生团队的健康指导。</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4.</w:t>
      </w:r>
      <w:r>
        <w:rPr>
          <w:rFonts w:hint="eastAsia" w:ascii="宋体" w:hAnsi="宋体"/>
          <w:color w:val="auto"/>
          <w:sz w:val="32"/>
          <w:lang w:val="zh-CN"/>
        </w:rPr>
        <w:t>做好慢病管理。患有慢性病的老年人应树立战胜疾病的信心，配合医生积极治疗，主动向医生咨询慢性病自我管理的知识、技能，并在医生指导下，做好自我管理，延缓病情进展，减少并发症，学习并运用老年人中医饮食调养，改善生活质量。</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5.</w:t>
      </w:r>
      <w:r>
        <w:rPr>
          <w:rFonts w:hint="eastAsia" w:ascii="宋体" w:hAnsi="宋体"/>
          <w:color w:val="auto"/>
          <w:sz w:val="32"/>
          <w:lang w:val="zh-CN"/>
        </w:rPr>
        <w:t>促进精神健康。了解老年是生命的一个过程，坦然面对老年生活身体和环境的变化。多运动、多用脑、多参与社会交往，通过健康的生活方式延缓衰老、预防精神障碍和心理行为问题。老年人及其家属要了解老年期痴呆等疾病的有关知识，发现可疑症状及时到专业机构检查，做到早发现、早诊断、早治疗。一旦确诊老年人患有精神疾病，家属应注重对患者的关爱和照护，帮助患者积极遵循治疗训练方案。对认知退化严重的老年人，要照顾好其饮食起居，防止走失。</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6.</w:t>
      </w:r>
      <w:r>
        <w:rPr>
          <w:rFonts w:hint="eastAsia" w:ascii="宋体" w:hAnsi="宋体"/>
          <w:color w:val="auto"/>
          <w:sz w:val="32"/>
          <w:lang w:val="zh-CN"/>
        </w:rPr>
        <w:t>注意安全用药。老年人共病发病率高，且药物代谢、转化、排泄能力下降，容易发生药物不良反应。生病及时就医，在医生指导下用药。主动监测用药情况，记录用药后主观感受和不良反应，复诊时及时向医生反馈。</w:t>
      </w:r>
      <w:r>
        <w:rPr>
          <w:rFonts w:hint="default" w:ascii="Times New Roman" w:hAnsi="Times New Roman" w:eastAsia="Times New Roman"/>
          <w:color w:val="auto"/>
          <w:sz w:val="32"/>
          <w:lang w:val="en-US"/>
        </w:rPr>
        <w:t xml:space="preserve"> </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7.</w:t>
      </w:r>
      <w:r>
        <w:rPr>
          <w:rFonts w:hint="eastAsia" w:ascii="宋体" w:hAnsi="宋体"/>
          <w:color w:val="auto"/>
          <w:sz w:val="32"/>
          <w:lang w:val="zh-CN"/>
        </w:rPr>
        <w:t>注重家庭支持。提倡家庭成员学习了解老年人健康维护的相关知识和技能，照顾好其饮食起居，关心关爱老年人心理、身体和行为变化情况，及早发现异常情况，及时安排就诊，并使家居环境保证足够的照明亮度，地面采取防滑措施并保持干燥，在水池旁、马桶旁、浴室安装扶手，预防老年人跌倒。</w:t>
      </w:r>
    </w:p>
    <w:p>
      <w:pPr>
        <w:spacing w:beforeLines="0" w:afterLines="0" w:line="600" w:lineRule="atLeast"/>
        <w:ind w:firstLine="643"/>
        <w:rPr>
          <w:rFonts w:hint="default" w:ascii="Times New Roman" w:hAnsi="Times New Roman" w:eastAsia="Times New Roman"/>
          <w:b/>
          <w:color w:val="auto"/>
          <w:sz w:val="32"/>
          <w:lang w:val="en-US"/>
        </w:rPr>
      </w:pPr>
      <w:r>
        <w:rPr>
          <w:rFonts w:hint="default" w:ascii="宋体" w:hAnsi="宋体"/>
          <w:b/>
          <w:color w:val="auto"/>
          <w:sz w:val="32"/>
          <w:lang w:val="zh-CN"/>
        </w:rPr>
        <w:t>——</w:t>
      </w:r>
      <w:r>
        <w:rPr>
          <w:rFonts w:hint="eastAsia" w:ascii="宋体" w:hAnsi="宋体"/>
          <w:b/>
          <w:color w:val="auto"/>
          <w:sz w:val="32"/>
          <w:lang w:val="zh-CN"/>
        </w:rPr>
        <w:t>社会：</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1.</w:t>
      </w:r>
      <w:r>
        <w:rPr>
          <w:rFonts w:hint="eastAsia" w:ascii="宋体" w:hAnsi="宋体"/>
          <w:color w:val="auto"/>
          <w:sz w:val="32"/>
          <w:lang w:val="zh-CN"/>
        </w:rPr>
        <w:t>全社会进一步关注和关爱老年人，构建尊老、孝老的社区环境，鼓励老年大学、老年活动中心、基层老年协会、有资质的社会组织等宣传心理健康知识，组织开展有益身心的活动；培训专兼职社会工作者和心理工作者。引入社会力量，为有需要的老年人提供心理辅导、情绪疏解、悲伤抚慰等心理健康服务。</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2.</w:t>
      </w:r>
      <w:r>
        <w:rPr>
          <w:rFonts w:hint="eastAsia" w:ascii="宋体" w:hAnsi="宋体"/>
          <w:color w:val="auto"/>
          <w:sz w:val="32"/>
          <w:lang w:val="zh-CN"/>
        </w:rPr>
        <w:t>支持社会组织为居家、社区、机构的失能、部分失能老人提供照护和精神慰藉服务。鼓励和支持社会力量参与、兴办居家养老服务。</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3.</w:t>
      </w:r>
      <w:r>
        <w:rPr>
          <w:rFonts w:hint="eastAsia" w:ascii="宋体" w:hAnsi="宋体"/>
          <w:color w:val="auto"/>
          <w:sz w:val="32"/>
          <w:lang w:val="zh-CN"/>
        </w:rPr>
        <w:t>鼓励和支持科研机构与高新技术企业深度合作，充分运用互联网、物联网、大数据等信息技术手段，开展大型队列研究，研究判定与预测老年健康的指标、标准与方法，研发可穿戴老年人健康支持技术和设备。</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4.</w:t>
      </w:r>
      <w:r>
        <w:rPr>
          <w:rFonts w:hint="eastAsia" w:ascii="宋体" w:hAnsi="宋体"/>
          <w:color w:val="auto"/>
          <w:sz w:val="32"/>
          <w:lang w:val="zh-CN"/>
        </w:rPr>
        <w:t>鼓励健康服务相关企业结合老年人身心特点，大力开展健康养生、健康体检、咨询管理、体质测定、体育健身、运动康复、健康旅游等多样化服务。</w:t>
      </w:r>
    </w:p>
    <w:p>
      <w:pPr>
        <w:spacing w:beforeLines="0" w:afterLines="0" w:line="600" w:lineRule="atLeast"/>
        <w:ind w:firstLine="643"/>
        <w:rPr>
          <w:rFonts w:hint="default" w:ascii="Times New Roman" w:hAnsi="Times New Roman" w:eastAsia="Times New Roman"/>
          <w:b/>
          <w:color w:val="auto"/>
          <w:sz w:val="32"/>
          <w:lang w:val="en-US"/>
        </w:rPr>
      </w:pPr>
      <w:r>
        <w:rPr>
          <w:rFonts w:hint="default" w:ascii="宋体" w:hAnsi="宋体"/>
          <w:b/>
          <w:color w:val="auto"/>
          <w:sz w:val="32"/>
          <w:lang w:val="zh-CN"/>
        </w:rPr>
        <w:t>——</w:t>
      </w:r>
      <w:r>
        <w:rPr>
          <w:rFonts w:hint="eastAsia" w:ascii="宋体" w:hAnsi="宋体"/>
          <w:b/>
          <w:color w:val="auto"/>
          <w:sz w:val="32"/>
          <w:lang w:val="zh-CN"/>
        </w:rPr>
        <w:t>政府：</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1.</w:t>
      </w:r>
      <w:r>
        <w:rPr>
          <w:rFonts w:hint="eastAsia" w:ascii="宋体" w:hAnsi="宋体"/>
          <w:color w:val="auto"/>
          <w:sz w:val="32"/>
          <w:lang w:val="zh-CN"/>
        </w:rPr>
        <w:t>开展老年健身、老年保健、老年疾病防治与康复等内容的教育活动。积极宣传适宜老年人的中医养生保健方法。加强老年人自救互救卫生应急技能训练。推广老年期常见疾病的防治适宜技术，开展预防老年人跌倒等干预和健康指导。（卫生健康委牵头，民政部、文化和旅游部、体育总局、中医药局等按职责分工负责）</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2.</w:t>
      </w:r>
      <w:r>
        <w:rPr>
          <w:rFonts w:hint="eastAsia" w:ascii="宋体" w:hAnsi="宋体"/>
          <w:color w:val="auto"/>
          <w:sz w:val="32"/>
          <w:lang w:val="zh-CN"/>
        </w:rPr>
        <w:t>实施老年人心理健康预防和干预计划，为贫困、空巢、失能、失智、计划生育特殊家庭和高龄独居老年人提供日常关怀和心理支持服务。加强对老年严重精神障碍患者的社区管理和康复治疗，鼓励老年人积极参与社会活动，促进老年人心理健康。（卫生健康委牵头，中医药局按职责负责）</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3.</w:t>
      </w:r>
      <w:r>
        <w:rPr>
          <w:rFonts w:hint="eastAsia" w:ascii="宋体" w:hAnsi="宋体"/>
          <w:color w:val="auto"/>
          <w:sz w:val="32"/>
          <w:lang w:val="zh-CN"/>
        </w:rPr>
        <w:t>建立和完善老年健康服务体系。优化老年医疗卫生资源配置，鼓励以城市二级医院转型、新建等多种方式，合理布局，积极发展老年医院、康复医院、护理院等医疗机构。推动二级以上综合医院开设老年医学科，增加老年病床位数量，提高老年人医疗卫生服务的可及性。（发展改革委、卫生健康委按职责分工负责）</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4.</w:t>
      </w:r>
      <w:r>
        <w:rPr>
          <w:rFonts w:hint="eastAsia" w:ascii="宋体" w:hAnsi="宋体"/>
          <w:color w:val="auto"/>
          <w:sz w:val="32"/>
          <w:lang w:val="zh-CN"/>
        </w:rPr>
        <w:t>强化基层医疗卫生服务网络功能，发挥家庭医生（团队）作用，为老年人提供综合、连续、协同、规范的基本医疗和公共卫生服务。为</w:t>
      </w:r>
      <w:r>
        <w:rPr>
          <w:rFonts w:hint="default" w:ascii="Times New Roman" w:hAnsi="Times New Roman" w:eastAsia="Times New Roman"/>
          <w:color w:val="auto"/>
          <w:sz w:val="32"/>
          <w:lang w:val="en-US"/>
        </w:rPr>
        <w:t>65</w:t>
      </w:r>
      <w:r>
        <w:rPr>
          <w:rFonts w:hint="eastAsia" w:ascii="宋体" w:hAnsi="宋体"/>
          <w:color w:val="auto"/>
          <w:sz w:val="32"/>
          <w:lang w:val="zh-CN"/>
        </w:rPr>
        <w:t>岁及以上老年人免费建立健康档案，每年免费提供健康体检。为老年人提供家庭医生签约服务。研究制定上门巡诊、家庭病床的服务标准和操作规范。（民政部、卫生健康委、医保局、中医药局按职责分工负责）</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5.</w:t>
      </w:r>
      <w:r>
        <w:rPr>
          <w:rFonts w:hint="eastAsia" w:ascii="宋体" w:hAnsi="宋体"/>
          <w:color w:val="auto"/>
          <w:sz w:val="32"/>
          <w:lang w:val="zh-CN"/>
        </w:rPr>
        <w:t>扩大中医药健康管理服务项目的覆盖广度和服务深度，根据老年人不同体质和健康状态提供更多中医养生保健、疾病防治等健康指导。推动中医医院与老年护理院、康复疗养机构等开展合作，推动二级以上中医医院开设老年医学科，增加老年服务资源，提供老年健康服务。（中医药局牵头，卫生健康委按职责负责）</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6.</w:t>
      </w:r>
      <w:r>
        <w:rPr>
          <w:rFonts w:hint="eastAsia" w:ascii="宋体" w:hAnsi="宋体"/>
          <w:color w:val="auto"/>
          <w:sz w:val="32"/>
          <w:lang w:val="zh-CN"/>
        </w:rPr>
        <w:t>完善医养结合政策，推进医疗卫生与养老服务融合发展，推动发展中医药特色医养结合服务。鼓励养老机构与周边的医疗卫生机构开展多种形式的合作，推动医疗卫生服务延伸至社区、家庭。支持社会力量开办非营利性医养结合服务机构。（卫生健康委牵头，民政部、中医药局按职责分工负责）</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7.</w:t>
      </w:r>
      <w:r>
        <w:rPr>
          <w:rFonts w:hint="eastAsia" w:ascii="宋体" w:hAnsi="宋体"/>
          <w:color w:val="auto"/>
          <w:sz w:val="32"/>
          <w:lang w:val="zh-CN"/>
        </w:rPr>
        <w:t>全面推进老年医学学科基础研究，提高我国老年医学的科研水平。推行多学科协作诊疗，重视老年综合征和老年综合评估。大力推进老年医学研究中心及创新基地建设，促进医研企共同开展创新性和集成性研究，打造高水平的技术创新与成果转化基地。（科技部、卫生健康委按职责分工负责）</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8.</w:t>
      </w:r>
      <w:r>
        <w:rPr>
          <w:rFonts w:hint="eastAsia" w:ascii="宋体" w:hAnsi="宋体"/>
          <w:color w:val="auto"/>
          <w:sz w:val="32"/>
          <w:lang w:val="zh-CN"/>
        </w:rPr>
        <w:t>支持高等院校和职业院校开设老年医学相关专业或课程，以老年医学、康复、护理、营养、心理和社会工作等为重点，加快培养适应现代老年医学理念的复合型多层次人才。将老年医学、康复、护理人才作为急需紧缺人才纳入卫生人员培训规划，加强专业技能培训。（教育部、卫生健康委按职责分工负责）</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9.</w:t>
      </w:r>
      <w:r>
        <w:rPr>
          <w:rFonts w:hint="eastAsia" w:ascii="宋体" w:hAnsi="宋体"/>
          <w:color w:val="auto"/>
          <w:sz w:val="32"/>
          <w:lang w:val="zh-CN"/>
        </w:rPr>
        <w:t>加快提出推开长期护理保险制度试点的指导意见。抓紧研究完善照护服务标准体系，建立健全长期照护等级认定标准、项目内涵、服务标准以及质量评价等行业规范和体制机制。（医保局牵头，卫生健康委按职责负责）</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10.</w:t>
      </w:r>
      <w:r>
        <w:rPr>
          <w:rFonts w:hint="eastAsia" w:ascii="宋体" w:hAnsi="宋体"/>
          <w:color w:val="auto"/>
          <w:sz w:val="32"/>
          <w:lang w:val="zh-CN"/>
        </w:rPr>
        <w:t>逐步建立完善支持家庭养老的政策体系，支持成年子女与老年父母共同生活。从老年人实际需求出发，强化家庭养老功能，从社区层面整合资源，加强社区日间照料中心等居家养老服务机构、场所和相关服务队伍建设，鼓励为老年人提供上门服务，为居家养老提供依托。弘扬敬老、养老、助老的社会风尚。（民政部牵头，文化和旅游部、卫生健康委按职责分工负责）</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11.</w:t>
      </w:r>
      <w:r>
        <w:rPr>
          <w:rFonts w:hint="eastAsia" w:ascii="宋体" w:hAnsi="宋体"/>
          <w:color w:val="auto"/>
          <w:sz w:val="32"/>
          <w:lang w:val="zh-CN"/>
        </w:rPr>
        <w:t>优化老年人住、行、医、养等环境，营造安全、便利、舒适、无障碍的老年宜居环境。推进老年人社区和居家适老化改造，支持适老住宅建设。（民政部、住房城乡建设部、交通运输部、卫生健康委按职责分工负责）</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12.</w:t>
      </w:r>
      <w:r>
        <w:rPr>
          <w:rFonts w:hint="eastAsia" w:ascii="宋体" w:hAnsi="宋体"/>
          <w:color w:val="auto"/>
          <w:sz w:val="32"/>
          <w:lang w:val="zh-CN"/>
        </w:rPr>
        <w:t>鼓励专业技术领域人才延长工作年限，各地制定老年人力资源开发利用专项规划，鼓励引导老年人为社会做更多贡献。发挥老年人优良品行传帮带作用，支持老党员、老专家、老军人、老劳模、老干部开展关心教育下一代活动。鼓励老年人参加志愿服务，繁荣老年文化，做到</w:t>
      </w:r>
      <w:r>
        <w:rPr>
          <w:rFonts w:hint="default" w:ascii="宋体" w:hAnsi="宋体"/>
          <w:color w:val="auto"/>
          <w:sz w:val="32"/>
          <w:lang w:val="zh-CN"/>
        </w:rPr>
        <w:t>“</w:t>
      </w:r>
      <w:r>
        <w:rPr>
          <w:rFonts w:hint="eastAsia" w:ascii="宋体" w:hAnsi="宋体"/>
          <w:color w:val="auto"/>
          <w:sz w:val="32"/>
          <w:lang w:val="zh-CN"/>
        </w:rPr>
        <w:t>老有所为</w:t>
      </w:r>
      <w:r>
        <w:rPr>
          <w:rFonts w:hint="default" w:ascii="宋体" w:hAnsi="宋体"/>
          <w:color w:val="auto"/>
          <w:sz w:val="32"/>
          <w:lang w:val="zh-CN"/>
        </w:rPr>
        <w:t>”</w:t>
      </w:r>
      <w:r>
        <w:rPr>
          <w:rFonts w:hint="eastAsia" w:ascii="宋体" w:hAnsi="宋体"/>
          <w:color w:val="auto"/>
          <w:sz w:val="32"/>
          <w:lang w:val="zh-CN"/>
        </w:rPr>
        <w:t>。（中央组织部、民政部、人力资源社会保障部、退役军人部按职责分工负责）</w:t>
      </w:r>
    </w:p>
    <w:p>
      <w:pPr>
        <w:spacing w:beforeLines="0" w:afterLines="0" w:line="600" w:lineRule="atLeast"/>
        <w:ind w:firstLine="643"/>
        <w:rPr>
          <w:rFonts w:hint="default" w:ascii="Times New Roman" w:hAnsi="Times New Roman" w:eastAsia="Times New Roman"/>
          <w:b/>
          <w:color w:val="auto"/>
          <w:sz w:val="32"/>
          <w:lang w:val="en-US"/>
        </w:rPr>
      </w:pPr>
      <w:r>
        <w:rPr>
          <w:rFonts w:hint="eastAsia" w:ascii="宋体" w:hAnsi="宋体"/>
          <w:b/>
          <w:color w:val="auto"/>
          <w:sz w:val="32"/>
          <w:lang w:val="zh-CN"/>
        </w:rPr>
        <w:t>（十一）心脑血管疾病防治行动。</w:t>
      </w:r>
    </w:p>
    <w:p>
      <w:pPr>
        <w:spacing w:beforeLines="0" w:afterLines="0" w:line="600" w:lineRule="atLeast"/>
        <w:ind w:firstLine="640"/>
        <w:rPr>
          <w:rFonts w:hint="default" w:ascii="Times New Roman" w:hAnsi="Times New Roman" w:eastAsia="Times New Roman"/>
          <w:color w:val="auto"/>
          <w:sz w:val="32"/>
          <w:lang w:val="en-US"/>
        </w:rPr>
      </w:pPr>
      <w:r>
        <w:rPr>
          <w:rFonts w:hint="eastAsia" w:ascii="宋体" w:hAnsi="宋体"/>
          <w:color w:val="auto"/>
          <w:sz w:val="32"/>
          <w:lang w:val="zh-CN"/>
        </w:rPr>
        <w:t>心脑血管疾病具有高患病率、高致残率、高复发率和高死亡率的特点，带来了沉重的社会及经济负担。目前全国现有高血压患者</w:t>
      </w:r>
      <w:r>
        <w:rPr>
          <w:rFonts w:hint="default" w:ascii="Times New Roman" w:hAnsi="Times New Roman" w:eastAsia="Times New Roman"/>
          <w:color w:val="auto"/>
          <w:sz w:val="32"/>
          <w:lang w:val="en-US"/>
        </w:rPr>
        <w:t>2.7</w:t>
      </w:r>
      <w:r>
        <w:rPr>
          <w:rFonts w:hint="eastAsia" w:ascii="宋体" w:hAnsi="宋体"/>
          <w:color w:val="auto"/>
          <w:sz w:val="32"/>
          <w:lang w:val="zh-CN"/>
        </w:rPr>
        <w:t>亿、脑卒中患者</w:t>
      </w:r>
      <w:r>
        <w:rPr>
          <w:rFonts w:hint="default" w:ascii="Times New Roman" w:hAnsi="Times New Roman" w:eastAsia="Times New Roman"/>
          <w:color w:val="auto"/>
          <w:sz w:val="32"/>
          <w:lang w:val="en-US"/>
        </w:rPr>
        <w:t>1300</w:t>
      </w:r>
      <w:r>
        <w:rPr>
          <w:rFonts w:hint="eastAsia" w:ascii="宋体" w:hAnsi="宋体"/>
          <w:color w:val="auto"/>
          <w:sz w:val="32"/>
          <w:lang w:val="zh-CN"/>
        </w:rPr>
        <w:t>万、冠心病患者</w:t>
      </w:r>
      <w:r>
        <w:rPr>
          <w:rFonts w:hint="default" w:ascii="Times New Roman" w:hAnsi="Times New Roman" w:eastAsia="Times New Roman"/>
          <w:color w:val="auto"/>
          <w:sz w:val="32"/>
          <w:lang w:val="en-US"/>
        </w:rPr>
        <w:t>1100</w:t>
      </w:r>
      <w:r>
        <w:rPr>
          <w:rFonts w:hint="eastAsia" w:ascii="宋体" w:hAnsi="宋体"/>
          <w:color w:val="auto"/>
          <w:sz w:val="32"/>
          <w:lang w:val="zh-CN"/>
        </w:rPr>
        <w:t>万。高血压、血脂异常、糖尿病，以及肥胖、吸烟、缺乏体力活动、不健康饮食习惯等是心脑血管疾病主要的且可以改变的危险因素。中国</w:t>
      </w:r>
      <w:r>
        <w:rPr>
          <w:rFonts w:hint="default" w:ascii="Times New Roman" w:hAnsi="Times New Roman" w:eastAsia="Times New Roman"/>
          <w:color w:val="auto"/>
          <w:sz w:val="32"/>
          <w:lang w:val="en-US"/>
        </w:rPr>
        <w:t>18</w:t>
      </w:r>
      <w:r>
        <w:rPr>
          <w:rFonts w:hint="eastAsia" w:ascii="宋体" w:hAnsi="宋体"/>
          <w:color w:val="auto"/>
          <w:sz w:val="32"/>
          <w:lang w:val="zh-CN"/>
        </w:rPr>
        <w:t>岁及以上居民高血压患病率为</w:t>
      </w:r>
      <w:r>
        <w:rPr>
          <w:rFonts w:hint="default" w:ascii="Times New Roman" w:hAnsi="Times New Roman" w:eastAsia="Times New Roman"/>
          <w:color w:val="auto"/>
          <w:sz w:val="32"/>
          <w:lang w:val="en-US"/>
        </w:rPr>
        <w:t>25.2%</w:t>
      </w:r>
      <w:r>
        <w:rPr>
          <w:rFonts w:hint="eastAsia" w:ascii="宋体" w:hAnsi="宋体"/>
          <w:color w:val="auto"/>
          <w:sz w:val="32"/>
          <w:lang w:val="zh-CN"/>
        </w:rPr>
        <w:t>，血脂异常达到</w:t>
      </w:r>
      <w:r>
        <w:rPr>
          <w:rFonts w:hint="default" w:ascii="Times New Roman" w:hAnsi="Times New Roman" w:eastAsia="Times New Roman"/>
          <w:color w:val="auto"/>
          <w:sz w:val="32"/>
          <w:lang w:val="en-US"/>
        </w:rPr>
        <w:t>40.4%</w:t>
      </w:r>
      <w:r>
        <w:rPr>
          <w:rFonts w:hint="eastAsia" w:ascii="宋体" w:hAnsi="宋体"/>
          <w:color w:val="auto"/>
          <w:sz w:val="32"/>
          <w:lang w:val="zh-CN"/>
        </w:rPr>
        <w:t>，均呈现上升趋势。对这些危险因素采取干预措施不仅能够预防或推迟心脑血管疾病的发生，而且能够和药物治疗协同作用预防心脑血管疾病的复发。</w:t>
      </w:r>
    </w:p>
    <w:p>
      <w:pPr>
        <w:spacing w:beforeLines="0" w:afterLines="0" w:line="600" w:lineRule="atLeast"/>
        <w:ind w:firstLine="640"/>
        <w:rPr>
          <w:rFonts w:hint="default" w:ascii="Times New Roman" w:hAnsi="Times New Roman" w:eastAsia="Times New Roman"/>
          <w:color w:val="auto"/>
          <w:sz w:val="32"/>
          <w:lang w:val="en-US"/>
        </w:rPr>
      </w:pPr>
      <w:r>
        <w:rPr>
          <w:rFonts w:hint="eastAsia" w:ascii="宋体" w:hAnsi="宋体"/>
          <w:color w:val="auto"/>
          <w:sz w:val="32"/>
          <w:lang w:val="zh-CN"/>
        </w:rPr>
        <w:t>行动目标：</w:t>
      </w:r>
    </w:p>
    <w:p>
      <w:pPr>
        <w:spacing w:beforeLines="0" w:afterLines="0" w:line="600" w:lineRule="atLeast"/>
        <w:ind w:firstLine="640"/>
        <w:rPr>
          <w:rFonts w:hint="default" w:ascii="Times New Roman" w:hAnsi="Times New Roman" w:eastAsia="Times New Roman"/>
          <w:color w:val="auto"/>
          <w:sz w:val="32"/>
          <w:lang w:val="en-US"/>
        </w:rPr>
      </w:pPr>
      <w:r>
        <w:rPr>
          <w:rFonts w:hint="eastAsia" w:ascii="宋体" w:hAnsi="宋体"/>
          <w:color w:val="auto"/>
          <w:sz w:val="32"/>
          <w:lang w:val="zh-CN"/>
        </w:rPr>
        <w:t>到</w:t>
      </w:r>
      <w:r>
        <w:rPr>
          <w:rFonts w:hint="default" w:ascii="Times New Roman" w:hAnsi="Times New Roman" w:eastAsia="Times New Roman"/>
          <w:color w:val="auto"/>
          <w:sz w:val="32"/>
          <w:lang w:val="en-US"/>
        </w:rPr>
        <w:t>2022</w:t>
      </w:r>
      <w:r>
        <w:rPr>
          <w:rFonts w:hint="eastAsia" w:ascii="宋体" w:hAnsi="宋体"/>
          <w:color w:val="auto"/>
          <w:sz w:val="32"/>
          <w:lang w:val="zh-CN"/>
        </w:rPr>
        <w:t>年和</w:t>
      </w:r>
      <w:r>
        <w:rPr>
          <w:rFonts w:hint="default" w:ascii="Times New Roman" w:hAnsi="Times New Roman" w:eastAsia="Times New Roman"/>
          <w:color w:val="auto"/>
          <w:sz w:val="32"/>
          <w:lang w:val="en-US"/>
        </w:rPr>
        <w:t>2030</w:t>
      </w:r>
      <w:r>
        <w:rPr>
          <w:rFonts w:hint="eastAsia" w:ascii="宋体" w:hAnsi="宋体"/>
          <w:color w:val="auto"/>
          <w:sz w:val="32"/>
          <w:lang w:val="zh-CN"/>
        </w:rPr>
        <w:t>年，心脑血管疾病死亡率分别下降到</w:t>
      </w:r>
      <w:r>
        <w:rPr>
          <w:rFonts w:hint="default" w:ascii="Times New Roman" w:hAnsi="Times New Roman" w:eastAsia="Times New Roman"/>
          <w:color w:val="auto"/>
          <w:sz w:val="32"/>
          <w:lang w:val="en-US"/>
        </w:rPr>
        <w:t>209.7/10</w:t>
      </w:r>
      <w:r>
        <w:rPr>
          <w:rFonts w:hint="eastAsia" w:ascii="宋体" w:hAnsi="宋体"/>
          <w:color w:val="auto"/>
          <w:sz w:val="32"/>
          <w:lang w:val="zh-CN"/>
        </w:rPr>
        <w:t>万及以下和</w:t>
      </w:r>
      <w:r>
        <w:rPr>
          <w:rFonts w:hint="default" w:ascii="Times New Roman" w:hAnsi="Times New Roman" w:eastAsia="Times New Roman"/>
          <w:color w:val="auto"/>
          <w:sz w:val="32"/>
          <w:lang w:val="en-US"/>
        </w:rPr>
        <w:t>190.7/10</w:t>
      </w:r>
      <w:r>
        <w:rPr>
          <w:rFonts w:hint="eastAsia" w:ascii="宋体" w:hAnsi="宋体"/>
          <w:color w:val="auto"/>
          <w:sz w:val="32"/>
          <w:lang w:val="zh-CN"/>
        </w:rPr>
        <w:t>万及以下；</w:t>
      </w:r>
      <w:r>
        <w:rPr>
          <w:rFonts w:hint="default" w:ascii="Times New Roman" w:hAnsi="Times New Roman" w:eastAsia="Times New Roman"/>
          <w:color w:val="auto"/>
          <w:sz w:val="32"/>
          <w:lang w:val="en-US"/>
        </w:rPr>
        <w:t>30</w:t>
      </w:r>
      <w:r>
        <w:rPr>
          <w:rFonts w:hint="eastAsia" w:ascii="宋体" w:hAnsi="宋体"/>
          <w:color w:val="auto"/>
          <w:sz w:val="32"/>
          <w:lang w:val="zh-CN"/>
        </w:rPr>
        <w:t>岁及以上居民高血压知晓率分别不低于</w:t>
      </w:r>
      <w:r>
        <w:rPr>
          <w:rFonts w:hint="default" w:ascii="Times New Roman" w:hAnsi="Times New Roman" w:eastAsia="Times New Roman"/>
          <w:color w:val="auto"/>
          <w:sz w:val="32"/>
          <w:lang w:val="en-US"/>
        </w:rPr>
        <w:t>55%</w:t>
      </w:r>
      <w:r>
        <w:rPr>
          <w:rFonts w:hint="eastAsia" w:ascii="宋体" w:hAnsi="宋体"/>
          <w:color w:val="auto"/>
          <w:sz w:val="32"/>
          <w:lang w:val="zh-CN"/>
        </w:rPr>
        <w:t>和</w:t>
      </w:r>
      <w:r>
        <w:rPr>
          <w:rFonts w:hint="default" w:ascii="Times New Roman" w:hAnsi="Times New Roman" w:eastAsia="Times New Roman"/>
          <w:color w:val="auto"/>
          <w:sz w:val="32"/>
          <w:lang w:val="en-US"/>
        </w:rPr>
        <w:t>65%</w:t>
      </w:r>
      <w:r>
        <w:rPr>
          <w:rFonts w:hint="eastAsia" w:ascii="宋体" w:hAnsi="宋体"/>
          <w:color w:val="auto"/>
          <w:sz w:val="32"/>
          <w:lang w:val="zh-CN"/>
        </w:rPr>
        <w:t>；高血压患者规范管理率分别不低于</w:t>
      </w:r>
      <w:r>
        <w:rPr>
          <w:rFonts w:hint="default" w:ascii="Times New Roman" w:hAnsi="Times New Roman" w:eastAsia="Times New Roman"/>
          <w:color w:val="auto"/>
          <w:sz w:val="32"/>
          <w:lang w:val="en-US"/>
        </w:rPr>
        <w:t>60%</w:t>
      </w:r>
      <w:r>
        <w:rPr>
          <w:rFonts w:hint="eastAsia" w:ascii="宋体" w:hAnsi="宋体"/>
          <w:color w:val="auto"/>
          <w:sz w:val="32"/>
          <w:lang w:val="zh-CN"/>
        </w:rPr>
        <w:t>和</w:t>
      </w:r>
      <w:r>
        <w:rPr>
          <w:rFonts w:hint="default" w:ascii="Times New Roman" w:hAnsi="Times New Roman" w:eastAsia="Times New Roman"/>
          <w:color w:val="auto"/>
          <w:sz w:val="32"/>
          <w:lang w:val="en-US"/>
        </w:rPr>
        <w:t>70%</w:t>
      </w:r>
      <w:r>
        <w:rPr>
          <w:rFonts w:hint="eastAsia" w:ascii="宋体" w:hAnsi="宋体"/>
          <w:color w:val="auto"/>
          <w:sz w:val="32"/>
          <w:lang w:val="zh-CN"/>
        </w:rPr>
        <w:t>；高血压治疗率、控制率持续提高；所有二级及以上医院卒中中心均开展静脉溶栓技术；</w:t>
      </w:r>
      <w:r>
        <w:rPr>
          <w:rFonts w:hint="default" w:ascii="Times New Roman" w:hAnsi="Times New Roman" w:eastAsia="Times New Roman"/>
          <w:color w:val="auto"/>
          <w:sz w:val="32"/>
          <w:lang w:val="en-US"/>
        </w:rPr>
        <w:t>35</w:t>
      </w:r>
      <w:r>
        <w:rPr>
          <w:rFonts w:hint="eastAsia" w:ascii="宋体" w:hAnsi="宋体"/>
          <w:color w:val="auto"/>
          <w:sz w:val="32"/>
          <w:lang w:val="zh-CN"/>
        </w:rPr>
        <w:t>岁及以上居民年度血脂检测率不低于</w:t>
      </w:r>
      <w:r>
        <w:rPr>
          <w:rFonts w:hint="default" w:ascii="Times New Roman" w:hAnsi="Times New Roman" w:eastAsia="Times New Roman"/>
          <w:color w:val="auto"/>
          <w:sz w:val="32"/>
          <w:lang w:val="en-US"/>
        </w:rPr>
        <w:t xml:space="preserve"> 27%</w:t>
      </w:r>
      <w:r>
        <w:rPr>
          <w:rFonts w:hint="eastAsia" w:ascii="宋体" w:hAnsi="宋体"/>
          <w:color w:val="auto"/>
          <w:sz w:val="32"/>
          <w:lang w:val="zh-CN"/>
        </w:rPr>
        <w:t>和</w:t>
      </w:r>
      <w:r>
        <w:rPr>
          <w:rFonts w:hint="default" w:ascii="Times New Roman" w:hAnsi="Times New Roman" w:eastAsia="Times New Roman"/>
          <w:color w:val="auto"/>
          <w:sz w:val="32"/>
          <w:lang w:val="en-US"/>
        </w:rPr>
        <w:t>35%</w:t>
      </w:r>
      <w:r>
        <w:rPr>
          <w:rFonts w:hint="eastAsia" w:ascii="宋体" w:hAnsi="宋体"/>
          <w:color w:val="auto"/>
          <w:sz w:val="32"/>
          <w:lang w:val="zh-CN"/>
        </w:rPr>
        <w:t>；乡镇卫生院、社区卫生服务中心提供</w:t>
      </w:r>
      <w:r>
        <w:rPr>
          <w:rFonts w:hint="default" w:ascii="Times New Roman" w:hAnsi="Times New Roman" w:eastAsia="Times New Roman"/>
          <w:color w:val="auto"/>
          <w:sz w:val="32"/>
          <w:lang w:val="en-US"/>
        </w:rPr>
        <w:t>6</w:t>
      </w:r>
      <w:r>
        <w:rPr>
          <w:rFonts w:hint="eastAsia" w:ascii="宋体" w:hAnsi="宋体"/>
          <w:color w:val="auto"/>
          <w:sz w:val="32"/>
          <w:lang w:val="zh-CN"/>
        </w:rPr>
        <w:t>类以上中医非药物疗法的比例达到</w:t>
      </w:r>
      <w:r>
        <w:rPr>
          <w:rFonts w:hint="default" w:ascii="Times New Roman" w:hAnsi="Times New Roman" w:eastAsia="Times New Roman"/>
          <w:color w:val="auto"/>
          <w:sz w:val="32"/>
          <w:lang w:val="en-US"/>
        </w:rPr>
        <w:t>100%</w:t>
      </w:r>
      <w:r>
        <w:rPr>
          <w:rFonts w:hint="eastAsia" w:ascii="宋体" w:hAnsi="宋体"/>
          <w:color w:val="auto"/>
          <w:sz w:val="32"/>
          <w:lang w:val="zh-CN"/>
        </w:rPr>
        <w:t>，村卫生室提供</w:t>
      </w:r>
      <w:r>
        <w:rPr>
          <w:rFonts w:hint="default" w:ascii="Times New Roman" w:hAnsi="Times New Roman" w:eastAsia="Times New Roman"/>
          <w:color w:val="auto"/>
          <w:sz w:val="32"/>
          <w:lang w:val="en-US"/>
        </w:rPr>
        <w:t>4</w:t>
      </w:r>
      <w:r>
        <w:rPr>
          <w:rFonts w:hint="eastAsia" w:ascii="宋体" w:hAnsi="宋体"/>
          <w:color w:val="auto"/>
          <w:sz w:val="32"/>
          <w:lang w:val="zh-CN"/>
        </w:rPr>
        <w:t>类以上中医非药物疗法的比例分别达到</w:t>
      </w:r>
      <w:r>
        <w:rPr>
          <w:rFonts w:hint="default" w:ascii="Times New Roman" w:hAnsi="Times New Roman" w:eastAsia="Times New Roman"/>
          <w:color w:val="auto"/>
          <w:sz w:val="32"/>
          <w:lang w:val="en-US"/>
        </w:rPr>
        <w:t>70%</w:t>
      </w:r>
      <w:r>
        <w:rPr>
          <w:rFonts w:hint="eastAsia" w:ascii="宋体" w:hAnsi="宋体"/>
          <w:color w:val="auto"/>
          <w:sz w:val="32"/>
          <w:lang w:val="zh-CN"/>
        </w:rPr>
        <w:t>和</w:t>
      </w:r>
      <w:r>
        <w:rPr>
          <w:rFonts w:hint="default" w:ascii="Times New Roman" w:hAnsi="Times New Roman" w:eastAsia="Times New Roman"/>
          <w:color w:val="auto"/>
          <w:sz w:val="32"/>
          <w:lang w:val="en-US"/>
        </w:rPr>
        <w:t>80%</w:t>
      </w:r>
      <w:r>
        <w:rPr>
          <w:rFonts w:hint="eastAsia" w:ascii="宋体" w:hAnsi="宋体"/>
          <w:color w:val="auto"/>
          <w:sz w:val="32"/>
          <w:lang w:val="zh-CN"/>
        </w:rPr>
        <w:t>；鼓励开展群众性应急救护培训，取得培训证书的人员比例分别提高到</w:t>
      </w:r>
      <w:r>
        <w:rPr>
          <w:rFonts w:hint="default" w:ascii="Times New Roman" w:hAnsi="Times New Roman" w:eastAsia="Times New Roman"/>
          <w:color w:val="auto"/>
          <w:sz w:val="32"/>
          <w:lang w:val="en-US"/>
        </w:rPr>
        <w:t>1%</w:t>
      </w:r>
      <w:r>
        <w:rPr>
          <w:rFonts w:hint="eastAsia" w:ascii="宋体" w:hAnsi="宋体"/>
          <w:color w:val="auto"/>
          <w:sz w:val="32"/>
          <w:lang w:val="zh-CN"/>
        </w:rPr>
        <w:t>及以上和</w:t>
      </w:r>
      <w:r>
        <w:rPr>
          <w:rFonts w:hint="default" w:ascii="Times New Roman" w:hAnsi="Times New Roman" w:eastAsia="Times New Roman"/>
          <w:color w:val="auto"/>
          <w:sz w:val="32"/>
          <w:lang w:val="en-US"/>
        </w:rPr>
        <w:t>3%</w:t>
      </w:r>
      <w:r>
        <w:rPr>
          <w:rFonts w:hint="eastAsia" w:ascii="宋体" w:hAnsi="宋体"/>
          <w:color w:val="auto"/>
          <w:sz w:val="32"/>
          <w:lang w:val="zh-CN"/>
        </w:rPr>
        <w:t>及以上。</w:t>
      </w:r>
    </w:p>
    <w:p>
      <w:pPr>
        <w:spacing w:beforeLines="0" w:afterLines="0" w:line="600" w:lineRule="atLeast"/>
        <w:ind w:firstLine="640"/>
        <w:rPr>
          <w:rFonts w:hint="default" w:ascii="Times New Roman" w:hAnsi="Times New Roman" w:eastAsia="Times New Roman"/>
          <w:color w:val="auto"/>
          <w:sz w:val="32"/>
          <w:lang w:val="en-US"/>
        </w:rPr>
      </w:pPr>
      <w:r>
        <w:rPr>
          <w:rFonts w:hint="eastAsia" w:ascii="宋体" w:hAnsi="宋体"/>
          <w:color w:val="auto"/>
          <w:sz w:val="32"/>
          <w:lang w:val="zh-CN"/>
        </w:rPr>
        <w:t>提倡居民定期进行健康体检；</w:t>
      </w:r>
      <w:r>
        <w:rPr>
          <w:rFonts w:hint="default" w:ascii="Times New Roman" w:hAnsi="Times New Roman" w:eastAsia="Times New Roman"/>
          <w:color w:val="auto"/>
          <w:sz w:val="32"/>
          <w:lang w:val="en-US"/>
        </w:rPr>
        <w:t>18</w:t>
      </w:r>
      <w:r>
        <w:rPr>
          <w:rFonts w:hint="eastAsia" w:ascii="宋体" w:hAnsi="宋体"/>
          <w:color w:val="auto"/>
          <w:sz w:val="32"/>
          <w:lang w:val="zh-CN"/>
        </w:rPr>
        <w:t>岁及以上成人定期自我监测血压，血压正常高值人群和其他高危人群经常测量血压；</w:t>
      </w:r>
      <w:r>
        <w:rPr>
          <w:rFonts w:hint="default" w:ascii="Times New Roman" w:hAnsi="Times New Roman" w:eastAsia="Times New Roman"/>
          <w:color w:val="auto"/>
          <w:sz w:val="32"/>
          <w:lang w:val="en-US"/>
        </w:rPr>
        <w:t>40</w:t>
      </w:r>
      <w:r>
        <w:rPr>
          <w:rFonts w:hint="eastAsia" w:ascii="宋体" w:hAnsi="宋体"/>
          <w:color w:val="auto"/>
          <w:sz w:val="32"/>
          <w:lang w:val="zh-CN"/>
        </w:rPr>
        <w:t>岁以下血脂正常人群每</w:t>
      </w:r>
      <w:r>
        <w:rPr>
          <w:rFonts w:hint="default" w:ascii="Times New Roman" w:hAnsi="Times New Roman" w:eastAsia="Times New Roman"/>
          <w:color w:val="auto"/>
          <w:sz w:val="32"/>
          <w:lang w:val="en-US"/>
        </w:rPr>
        <w:t>2</w:t>
      </w:r>
      <w:r>
        <w:rPr>
          <w:rFonts w:hint="eastAsia" w:ascii="宋体" w:hAnsi="宋体"/>
          <w:color w:val="auto"/>
          <w:sz w:val="32"/>
          <w:lang w:val="zh-CN"/>
        </w:rPr>
        <w:t>～</w:t>
      </w:r>
      <w:r>
        <w:rPr>
          <w:rFonts w:hint="default" w:ascii="Times New Roman" w:hAnsi="Times New Roman" w:eastAsia="Times New Roman"/>
          <w:color w:val="auto"/>
          <w:sz w:val="32"/>
          <w:lang w:val="en-US"/>
        </w:rPr>
        <w:t>5</w:t>
      </w:r>
      <w:r>
        <w:rPr>
          <w:rFonts w:hint="eastAsia" w:ascii="宋体" w:hAnsi="宋体"/>
          <w:color w:val="auto"/>
          <w:sz w:val="32"/>
          <w:lang w:val="zh-CN"/>
        </w:rPr>
        <w:t>年检测</w:t>
      </w:r>
      <w:r>
        <w:rPr>
          <w:rFonts w:hint="default" w:ascii="Times New Roman" w:hAnsi="Times New Roman" w:eastAsia="Times New Roman"/>
          <w:color w:val="auto"/>
          <w:sz w:val="32"/>
          <w:lang w:val="en-US"/>
        </w:rPr>
        <w:t>1</w:t>
      </w:r>
      <w:r>
        <w:rPr>
          <w:rFonts w:hint="eastAsia" w:ascii="宋体" w:hAnsi="宋体"/>
          <w:color w:val="auto"/>
          <w:sz w:val="32"/>
          <w:lang w:val="zh-CN"/>
        </w:rPr>
        <w:t>次血脂，</w:t>
      </w:r>
      <w:r>
        <w:rPr>
          <w:rFonts w:hint="default" w:ascii="Times New Roman" w:hAnsi="Times New Roman" w:eastAsia="Times New Roman"/>
          <w:color w:val="auto"/>
          <w:sz w:val="32"/>
          <w:lang w:val="en-US"/>
        </w:rPr>
        <w:t>40</w:t>
      </w:r>
      <w:r>
        <w:rPr>
          <w:rFonts w:hint="eastAsia" w:ascii="宋体" w:hAnsi="宋体"/>
          <w:color w:val="auto"/>
          <w:sz w:val="32"/>
          <w:lang w:val="zh-CN"/>
        </w:rPr>
        <w:t>岁及以上人群至少每年检测</w:t>
      </w:r>
      <w:r>
        <w:rPr>
          <w:rFonts w:hint="default" w:ascii="Times New Roman" w:hAnsi="Times New Roman" w:eastAsia="Times New Roman"/>
          <w:color w:val="auto"/>
          <w:sz w:val="32"/>
          <w:lang w:val="en-US"/>
        </w:rPr>
        <w:t>1</w:t>
      </w:r>
      <w:r>
        <w:rPr>
          <w:rFonts w:hint="eastAsia" w:ascii="宋体" w:hAnsi="宋体"/>
          <w:color w:val="auto"/>
          <w:sz w:val="32"/>
          <w:lang w:val="zh-CN"/>
        </w:rPr>
        <w:t>次血脂，心脑血管疾病高危人群每</w:t>
      </w:r>
      <w:r>
        <w:rPr>
          <w:rFonts w:hint="default" w:ascii="Times New Roman" w:hAnsi="Times New Roman" w:eastAsia="Times New Roman"/>
          <w:color w:val="auto"/>
          <w:sz w:val="32"/>
          <w:lang w:val="en-US"/>
        </w:rPr>
        <w:t>6</w:t>
      </w:r>
      <w:r>
        <w:rPr>
          <w:rFonts w:hint="eastAsia" w:ascii="宋体" w:hAnsi="宋体"/>
          <w:color w:val="auto"/>
          <w:sz w:val="32"/>
          <w:lang w:val="zh-CN"/>
        </w:rPr>
        <w:t>个月检测</w:t>
      </w:r>
      <w:r>
        <w:rPr>
          <w:rFonts w:hint="default" w:ascii="Times New Roman" w:hAnsi="Times New Roman" w:eastAsia="Times New Roman"/>
          <w:color w:val="auto"/>
          <w:sz w:val="32"/>
          <w:lang w:val="en-US"/>
        </w:rPr>
        <w:t>1</w:t>
      </w:r>
      <w:r>
        <w:rPr>
          <w:rFonts w:hint="eastAsia" w:ascii="宋体" w:hAnsi="宋体"/>
          <w:color w:val="auto"/>
          <w:sz w:val="32"/>
          <w:lang w:val="zh-CN"/>
        </w:rPr>
        <w:t>次血脂。</w:t>
      </w:r>
    </w:p>
    <w:p>
      <w:pPr>
        <w:spacing w:beforeLines="0" w:afterLines="0" w:line="600" w:lineRule="atLeast"/>
        <w:ind w:firstLine="643"/>
        <w:rPr>
          <w:rFonts w:hint="default" w:ascii="Times New Roman" w:hAnsi="Times New Roman" w:eastAsia="Times New Roman"/>
          <w:b/>
          <w:color w:val="auto"/>
          <w:sz w:val="32"/>
          <w:lang w:val="en-US"/>
        </w:rPr>
      </w:pPr>
      <w:r>
        <w:rPr>
          <w:rFonts w:hint="default" w:ascii="宋体" w:hAnsi="宋体"/>
          <w:b/>
          <w:color w:val="auto"/>
          <w:sz w:val="32"/>
          <w:lang w:val="zh-CN"/>
        </w:rPr>
        <w:t>——</w:t>
      </w:r>
      <w:r>
        <w:rPr>
          <w:rFonts w:hint="eastAsia" w:ascii="宋体" w:hAnsi="宋体"/>
          <w:b/>
          <w:color w:val="auto"/>
          <w:sz w:val="32"/>
          <w:lang w:val="zh-CN"/>
        </w:rPr>
        <w:t>个人：</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1.</w:t>
      </w:r>
      <w:r>
        <w:rPr>
          <w:rFonts w:hint="eastAsia" w:ascii="宋体" w:hAnsi="宋体"/>
          <w:color w:val="auto"/>
          <w:sz w:val="32"/>
          <w:lang w:val="zh-CN"/>
        </w:rPr>
        <w:t>知晓个人血压。</w:t>
      </w:r>
      <w:r>
        <w:rPr>
          <w:rFonts w:hint="default" w:ascii="Times New Roman" w:hAnsi="Times New Roman" w:eastAsia="Times New Roman"/>
          <w:color w:val="auto"/>
          <w:sz w:val="32"/>
          <w:lang w:val="en-US"/>
        </w:rPr>
        <w:t>18</w:t>
      </w:r>
      <w:r>
        <w:rPr>
          <w:rFonts w:hint="eastAsia" w:ascii="宋体" w:hAnsi="宋体"/>
          <w:color w:val="auto"/>
          <w:sz w:val="32"/>
          <w:lang w:val="zh-CN"/>
        </w:rPr>
        <w:t>岁及以上成人定期自我监测血压，关注血压变化，控制高血压危险因素。超重或肥胖、高盐饮食、吸烟、长期饮酒、长期精神紧张、体力活动不足者等是高血压的高危人群。建议血压为正常高值者（</w:t>
      </w:r>
      <w:r>
        <w:rPr>
          <w:rFonts w:hint="default" w:ascii="Times New Roman" w:hAnsi="Times New Roman" w:eastAsia="Times New Roman"/>
          <w:color w:val="auto"/>
          <w:sz w:val="32"/>
          <w:lang w:val="en-US"/>
        </w:rPr>
        <w:t>120</w:t>
      </w:r>
      <w:r>
        <w:rPr>
          <w:rFonts w:hint="eastAsia" w:ascii="宋体" w:hAnsi="宋体"/>
          <w:color w:val="auto"/>
          <w:sz w:val="32"/>
          <w:lang w:val="zh-CN"/>
        </w:rPr>
        <w:t>～</w:t>
      </w:r>
      <w:r>
        <w:rPr>
          <w:rFonts w:hint="default" w:ascii="Times New Roman" w:hAnsi="Times New Roman" w:eastAsia="Times New Roman"/>
          <w:color w:val="auto"/>
          <w:sz w:val="32"/>
          <w:lang w:val="en-US"/>
        </w:rPr>
        <w:t>139 mmHg /80</w:t>
      </w:r>
      <w:r>
        <w:rPr>
          <w:rFonts w:hint="eastAsia" w:ascii="宋体" w:hAnsi="宋体"/>
          <w:color w:val="auto"/>
          <w:sz w:val="32"/>
          <w:lang w:val="zh-CN"/>
        </w:rPr>
        <w:t>～</w:t>
      </w:r>
      <w:r>
        <w:rPr>
          <w:rFonts w:hint="default" w:ascii="Times New Roman" w:hAnsi="Times New Roman" w:eastAsia="Times New Roman"/>
          <w:color w:val="auto"/>
          <w:sz w:val="32"/>
          <w:lang w:val="en-US"/>
        </w:rPr>
        <w:t xml:space="preserve">89 mmHg </w:t>
      </w:r>
      <w:r>
        <w:rPr>
          <w:rFonts w:hint="eastAsia" w:ascii="宋体" w:hAnsi="宋体"/>
          <w:color w:val="auto"/>
          <w:sz w:val="32"/>
          <w:lang w:val="zh-CN"/>
        </w:rPr>
        <w:t>）及早注意控制以上危险因素。建议血压正常者至少每年测量</w:t>
      </w:r>
      <w:r>
        <w:rPr>
          <w:rFonts w:hint="default" w:ascii="Times New Roman" w:hAnsi="Times New Roman" w:eastAsia="Times New Roman"/>
          <w:color w:val="auto"/>
          <w:sz w:val="32"/>
          <w:lang w:val="en-US"/>
        </w:rPr>
        <w:t>1</w:t>
      </w:r>
      <w:r>
        <w:rPr>
          <w:rFonts w:hint="eastAsia" w:ascii="宋体" w:hAnsi="宋体"/>
          <w:color w:val="auto"/>
          <w:sz w:val="32"/>
          <w:lang w:val="zh-CN"/>
        </w:rPr>
        <w:t>次血压，高危人群经常测量血压，并接受医务人员的健康指导。</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2.</w:t>
      </w:r>
      <w:r>
        <w:rPr>
          <w:rFonts w:hint="eastAsia" w:ascii="宋体" w:hAnsi="宋体"/>
          <w:color w:val="auto"/>
          <w:sz w:val="32"/>
          <w:lang w:val="zh-CN"/>
        </w:rPr>
        <w:t>自我血压管理。在未使用降压药物的情况下，非同日</w:t>
      </w:r>
      <w:r>
        <w:rPr>
          <w:rFonts w:hint="default" w:ascii="Times New Roman" w:hAnsi="Times New Roman" w:eastAsia="Times New Roman"/>
          <w:color w:val="auto"/>
          <w:sz w:val="32"/>
          <w:lang w:val="en-US"/>
        </w:rPr>
        <w:t>3</w:t>
      </w:r>
      <w:r>
        <w:rPr>
          <w:rFonts w:hint="eastAsia" w:ascii="宋体" w:hAnsi="宋体"/>
          <w:color w:val="auto"/>
          <w:sz w:val="32"/>
          <w:lang w:val="zh-CN"/>
        </w:rPr>
        <w:t>次测量收缩压≥</w:t>
      </w:r>
      <w:r>
        <w:rPr>
          <w:rFonts w:hint="default" w:ascii="Times New Roman" w:hAnsi="Times New Roman" w:eastAsia="Times New Roman"/>
          <w:color w:val="auto"/>
          <w:sz w:val="32"/>
          <w:lang w:val="en-US"/>
        </w:rPr>
        <w:t>140mmHg</w:t>
      </w:r>
      <w:r>
        <w:rPr>
          <w:rFonts w:hint="eastAsia" w:ascii="宋体" w:hAnsi="宋体"/>
          <w:color w:val="auto"/>
          <w:sz w:val="32"/>
          <w:lang w:val="zh-CN"/>
        </w:rPr>
        <w:t>和（或）舒张压≥</w:t>
      </w:r>
      <w:r>
        <w:rPr>
          <w:rFonts w:hint="default" w:ascii="Times New Roman" w:hAnsi="Times New Roman" w:eastAsia="Times New Roman"/>
          <w:color w:val="auto"/>
          <w:sz w:val="32"/>
          <w:lang w:val="en-US"/>
        </w:rPr>
        <w:t>90mmHg</w:t>
      </w:r>
      <w:r>
        <w:rPr>
          <w:rFonts w:hint="eastAsia" w:ascii="宋体" w:hAnsi="宋体"/>
          <w:color w:val="auto"/>
          <w:sz w:val="32"/>
          <w:lang w:val="zh-CN"/>
        </w:rPr>
        <w:t>，可诊断为高血压。高血压患者要学会自我健康管理，认真遵医嘱服药，经常测量血压和复诊。</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3.</w:t>
      </w:r>
      <w:r>
        <w:rPr>
          <w:rFonts w:hint="eastAsia" w:ascii="宋体" w:hAnsi="宋体"/>
          <w:color w:val="auto"/>
          <w:sz w:val="32"/>
          <w:lang w:val="zh-CN"/>
        </w:rPr>
        <w:t>注重合理膳食。建议高血压高危人群及患者注意膳食盐的摄入，每日食盐摄入量不超过</w:t>
      </w:r>
      <w:r>
        <w:rPr>
          <w:rFonts w:hint="default" w:ascii="Times New Roman" w:hAnsi="Times New Roman" w:eastAsia="Times New Roman"/>
          <w:color w:val="auto"/>
          <w:sz w:val="32"/>
          <w:lang w:val="en-US"/>
        </w:rPr>
        <w:t>5g</w:t>
      </w:r>
      <w:r>
        <w:rPr>
          <w:rFonts w:hint="eastAsia" w:ascii="宋体" w:hAnsi="宋体"/>
          <w:color w:val="auto"/>
          <w:sz w:val="32"/>
          <w:lang w:val="zh-CN"/>
        </w:rPr>
        <w:t>，并戒酒，减少摄入富含油脂和高糖的食物，限量食用烹调油。</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4.</w:t>
      </w:r>
      <w:r>
        <w:rPr>
          <w:rFonts w:hint="eastAsia" w:ascii="宋体" w:hAnsi="宋体"/>
          <w:color w:val="auto"/>
          <w:sz w:val="32"/>
          <w:lang w:val="zh-CN"/>
        </w:rPr>
        <w:t>酌情量力运动。建议心脑血管疾病高危人群（具有心脑血管既往病史或血压异常、血脂异常，或根据世界卫生组织发布的《心血管风险评估和管理指南》判断</w:t>
      </w:r>
      <w:r>
        <w:rPr>
          <w:rFonts w:hint="default" w:ascii="Times New Roman" w:hAnsi="Times New Roman" w:eastAsia="Times New Roman"/>
          <w:color w:val="auto"/>
          <w:sz w:val="32"/>
          <w:lang w:val="en-US"/>
        </w:rPr>
        <w:t>10</w:t>
      </w:r>
      <w:r>
        <w:rPr>
          <w:rFonts w:hint="eastAsia" w:ascii="宋体" w:hAnsi="宋体"/>
          <w:color w:val="auto"/>
          <w:sz w:val="32"/>
          <w:lang w:val="zh-CN"/>
        </w:rPr>
        <w:t>年心脑血管疾病患病风险≥</w:t>
      </w:r>
      <w:r>
        <w:rPr>
          <w:rFonts w:hint="default" w:ascii="Times New Roman" w:hAnsi="Times New Roman" w:eastAsia="Times New Roman"/>
          <w:color w:val="auto"/>
          <w:sz w:val="32"/>
          <w:lang w:val="en-US"/>
        </w:rPr>
        <w:t>20%</w:t>
      </w:r>
      <w:r>
        <w:rPr>
          <w:rFonts w:hint="eastAsia" w:ascii="宋体" w:hAnsi="宋体"/>
          <w:color w:val="auto"/>
          <w:sz w:val="32"/>
          <w:lang w:val="zh-CN"/>
        </w:rPr>
        <w:t>）及患者的运动形式根据个人健康和体质确定，考虑进行心脑血管风险评估，全方位考虑运动限度，以大肌肉群参与的有氧耐力运动为主，如健走、慢跑、游泳、太极拳等运动，活动量一般应达到中等强度。</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5.</w:t>
      </w:r>
      <w:r>
        <w:rPr>
          <w:rFonts w:hint="eastAsia" w:ascii="宋体" w:hAnsi="宋体"/>
          <w:color w:val="auto"/>
          <w:sz w:val="32"/>
          <w:lang w:val="zh-CN"/>
        </w:rPr>
        <w:t>关注并定期进行血脂检测。</w:t>
      </w:r>
      <w:r>
        <w:rPr>
          <w:rFonts w:hint="default" w:ascii="Times New Roman" w:hAnsi="Times New Roman" w:eastAsia="Times New Roman"/>
          <w:color w:val="auto"/>
          <w:sz w:val="32"/>
          <w:lang w:val="en-US"/>
        </w:rPr>
        <w:t>40</w:t>
      </w:r>
      <w:r>
        <w:rPr>
          <w:rFonts w:hint="eastAsia" w:ascii="宋体" w:hAnsi="宋体"/>
          <w:color w:val="auto"/>
          <w:sz w:val="32"/>
          <w:lang w:val="zh-CN"/>
        </w:rPr>
        <w:t>岁以下血脂正常人群，每</w:t>
      </w:r>
      <w:r>
        <w:rPr>
          <w:rFonts w:hint="default" w:ascii="Times New Roman" w:hAnsi="Times New Roman" w:eastAsia="Times New Roman"/>
          <w:color w:val="auto"/>
          <w:sz w:val="32"/>
          <w:lang w:val="en-US"/>
        </w:rPr>
        <w:t>2</w:t>
      </w:r>
      <w:r>
        <w:rPr>
          <w:rFonts w:hint="eastAsia" w:ascii="宋体" w:hAnsi="宋体"/>
          <w:color w:val="auto"/>
          <w:sz w:val="32"/>
          <w:lang w:val="zh-CN"/>
        </w:rPr>
        <w:t>～</w:t>
      </w:r>
      <w:r>
        <w:rPr>
          <w:rFonts w:hint="default" w:ascii="Times New Roman" w:hAnsi="Times New Roman" w:eastAsia="Times New Roman"/>
          <w:color w:val="auto"/>
          <w:sz w:val="32"/>
          <w:lang w:val="en-US"/>
        </w:rPr>
        <w:t>5</w:t>
      </w:r>
      <w:r>
        <w:rPr>
          <w:rFonts w:hint="eastAsia" w:ascii="宋体" w:hAnsi="宋体"/>
          <w:color w:val="auto"/>
          <w:sz w:val="32"/>
          <w:lang w:val="zh-CN"/>
        </w:rPr>
        <w:t>年检测</w:t>
      </w:r>
      <w:r>
        <w:rPr>
          <w:rFonts w:hint="default" w:ascii="Times New Roman" w:hAnsi="Times New Roman" w:eastAsia="Times New Roman"/>
          <w:color w:val="auto"/>
          <w:sz w:val="32"/>
          <w:lang w:val="en-US"/>
        </w:rPr>
        <w:t>1</w:t>
      </w:r>
      <w:r>
        <w:rPr>
          <w:rFonts w:hint="eastAsia" w:ascii="宋体" w:hAnsi="宋体"/>
          <w:color w:val="auto"/>
          <w:sz w:val="32"/>
          <w:lang w:val="zh-CN"/>
        </w:rPr>
        <w:t>次血脂；</w:t>
      </w:r>
      <w:r>
        <w:rPr>
          <w:rFonts w:hint="default" w:ascii="Times New Roman" w:hAnsi="Times New Roman" w:eastAsia="Times New Roman"/>
          <w:color w:val="auto"/>
          <w:sz w:val="32"/>
          <w:lang w:val="en-US"/>
        </w:rPr>
        <w:t>40</w:t>
      </w:r>
      <w:r>
        <w:rPr>
          <w:rFonts w:hint="eastAsia" w:ascii="宋体" w:hAnsi="宋体"/>
          <w:color w:val="auto"/>
          <w:sz w:val="32"/>
          <w:lang w:val="zh-CN"/>
        </w:rPr>
        <w:t>岁及以上人群至少每年检测</w:t>
      </w:r>
      <w:r>
        <w:rPr>
          <w:rFonts w:hint="default" w:ascii="Times New Roman" w:hAnsi="Times New Roman" w:eastAsia="Times New Roman"/>
          <w:color w:val="auto"/>
          <w:sz w:val="32"/>
          <w:lang w:val="en-US"/>
        </w:rPr>
        <w:t>1</w:t>
      </w:r>
      <w:r>
        <w:rPr>
          <w:rFonts w:hint="eastAsia" w:ascii="宋体" w:hAnsi="宋体"/>
          <w:color w:val="auto"/>
          <w:sz w:val="32"/>
          <w:lang w:val="zh-CN"/>
        </w:rPr>
        <w:t>次血脂。心脑血管疾病高危人群每</w:t>
      </w:r>
      <w:r>
        <w:rPr>
          <w:rFonts w:hint="default" w:ascii="Times New Roman" w:hAnsi="Times New Roman" w:eastAsia="Times New Roman"/>
          <w:color w:val="auto"/>
          <w:sz w:val="32"/>
          <w:lang w:val="en-US"/>
        </w:rPr>
        <w:t>6</w:t>
      </w:r>
      <w:r>
        <w:rPr>
          <w:rFonts w:hint="eastAsia" w:ascii="宋体" w:hAnsi="宋体"/>
          <w:color w:val="auto"/>
          <w:sz w:val="32"/>
          <w:lang w:val="zh-CN"/>
        </w:rPr>
        <w:t>个月检测</w:t>
      </w:r>
      <w:r>
        <w:rPr>
          <w:rFonts w:hint="default" w:ascii="Times New Roman" w:hAnsi="Times New Roman" w:eastAsia="Times New Roman"/>
          <w:color w:val="auto"/>
          <w:sz w:val="32"/>
          <w:lang w:val="en-US"/>
        </w:rPr>
        <w:t>1</w:t>
      </w:r>
      <w:r>
        <w:rPr>
          <w:rFonts w:hint="eastAsia" w:ascii="宋体" w:hAnsi="宋体"/>
          <w:color w:val="auto"/>
          <w:sz w:val="32"/>
          <w:lang w:val="zh-CN"/>
        </w:rPr>
        <w:t>次血脂。</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6.</w:t>
      </w:r>
      <w:r>
        <w:rPr>
          <w:rFonts w:hint="eastAsia" w:ascii="宋体" w:hAnsi="宋体"/>
          <w:color w:val="auto"/>
          <w:sz w:val="32"/>
          <w:lang w:val="zh-CN"/>
        </w:rPr>
        <w:t>防范脑卒中发生。脑卒中发病率、死亡率的上升与血压升高关系密切，血压越高，脑卒中风险越高。血脂异常与缺血性脑卒中发病率之间存在明显相关性。房颤是引发缺血性脑卒中的重要病因。降低血压，控制血脂，保持健康体重，可降低脑卒中风险。建议房颤患者遵医嘱采用抗凝治疗。</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7.</w:t>
      </w:r>
      <w:r>
        <w:rPr>
          <w:rFonts w:hint="eastAsia" w:ascii="宋体" w:hAnsi="宋体"/>
          <w:color w:val="auto"/>
          <w:sz w:val="32"/>
          <w:lang w:val="zh-CN"/>
        </w:rPr>
        <w:t>学习掌握心脑血管疾病发病初期正确的自救措施及紧急就医指导。急性心肌梗死疼痛的部位（心前区、胸骨后、剑突下、左肩等）与心绞痛相同，但持续时间较长，程度重，并可伴有恶心、呕吐、出汗等症状，应让病人绝对卧床休息，松解领口，保持室内安静和空气流通。有条件者可立即吸氧，舌下含服硝酸甘油</w:t>
      </w:r>
      <w:r>
        <w:rPr>
          <w:rFonts w:hint="default" w:ascii="Times New Roman" w:hAnsi="Times New Roman" w:eastAsia="Times New Roman"/>
          <w:color w:val="auto"/>
          <w:sz w:val="32"/>
          <w:lang w:val="en-US"/>
        </w:rPr>
        <w:t>1</w:t>
      </w:r>
      <w:r>
        <w:rPr>
          <w:rFonts w:hint="eastAsia" w:ascii="宋体" w:hAnsi="宋体"/>
          <w:color w:val="auto"/>
          <w:sz w:val="32"/>
          <w:lang w:val="zh-CN"/>
        </w:rPr>
        <w:t>片，同时立即呼叫急救中心，切忌乘公共汽车或扶病人步行去医院。早期脑卒中发病的特点是突然一侧肢体无力或者麻木，突然说话不清或听不懂别人讲话，突然视物旋转、站立不能，一过性视力障碍、眼前发黑，视物模糊，出现难以忍受的头痛，症状逐渐加重或呈持续性，伴有恶心、呕吐。出现这种情况时，应将患者放平，仰卧位，不要枕枕头，头偏向一侧，注意给病人保暖。同时，立即拨打急救电话，尽量快速到达医院。抓住</w:t>
      </w:r>
      <w:r>
        <w:rPr>
          <w:rFonts w:hint="default" w:ascii="Times New Roman" w:hAnsi="Times New Roman" w:eastAsia="Times New Roman"/>
          <w:color w:val="auto"/>
          <w:sz w:val="32"/>
          <w:lang w:val="en-US"/>
        </w:rPr>
        <w:t>4</w:t>
      </w:r>
      <w:r>
        <w:rPr>
          <w:rFonts w:hint="eastAsia" w:ascii="宋体" w:hAnsi="宋体"/>
          <w:color w:val="auto"/>
          <w:sz w:val="32"/>
          <w:lang w:val="zh-CN"/>
        </w:rPr>
        <w:t>小时的黄金抢救时间窗，接受静脉溶栓治疗，可大幅降低致死率和致残率。</w:t>
      </w:r>
    </w:p>
    <w:p>
      <w:pPr>
        <w:spacing w:beforeLines="0" w:afterLines="0" w:line="600" w:lineRule="atLeast"/>
        <w:ind w:firstLine="643"/>
        <w:rPr>
          <w:rFonts w:hint="default" w:ascii="Times New Roman" w:hAnsi="Times New Roman" w:eastAsia="Times New Roman"/>
          <w:b/>
          <w:color w:val="auto"/>
          <w:sz w:val="32"/>
          <w:lang w:val="en-US"/>
        </w:rPr>
      </w:pPr>
      <w:r>
        <w:rPr>
          <w:rFonts w:hint="default" w:ascii="宋体" w:hAnsi="宋体"/>
          <w:b/>
          <w:color w:val="auto"/>
          <w:sz w:val="32"/>
          <w:lang w:val="zh-CN"/>
        </w:rPr>
        <w:t>——</w:t>
      </w:r>
      <w:r>
        <w:rPr>
          <w:rFonts w:hint="eastAsia" w:ascii="宋体" w:hAnsi="宋体"/>
          <w:b/>
          <w:color w:val="auto"/>
          <w:sz w:val="32"/>
          <w:lang w:val="zh-CN"/>
        </w:rPr>
        <w:t>社会和政府：</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1.</w:t>
      </w:r>
      <w:r>
        <w:rPr>
          <w:rFonts w:hint="eastAsia" w:ascii="宋体" w:hAnsi="宋体"/>
          <w:color w:val="auto"/>
          <w:sz w:val="32"/>
          <w:lang w:val="zh-CN"/>
        </w:rPr>
        <w:t>鼓励、支持红十字会等社会组织和急救中心等医疗机构开展群众性应急救护培训，普及全民应急救护知识，使公众掌握基本必备的心肺复苏等应急自救互救知识与技能。到</w:t>
      </w:r>
      <w:r>
        <w:rPr>
          <w:rFonts w:hint="default" w:ascii="Times New Roman" w:hAnsi="Times New Roman" w:eastAsia="Times New Roman"/>
          <w:color w:val="auto"/>
          <w:sz w:val="32"/>
          <w:lang w:val="en-US"/>
        </w:rPr>
        <w:t>2022</w:t>
      </w:r>
      <w:r>
        <w:rPr>
          <w:rFonts w:hint="eastAsia" w:ascii="宋体" w:hAnsi="宋体"/>
          <w:color w:val="auto"/>
          <w:sz w:val="32"/>
          <w:lang w:val="zh-CN"/>
        </w:rPr>
        <w:t>年和</w:t>
      </w:r>
      <w:r>
        <w:rPr>
          <w:rFonts w:hint="default" w:ascii="Times New Roman" w:hAnsi="Times New Roman" w:eastAsia="Times New Roman"/>
          <w:color w:val="auto"/>
          <w:sz w:val="32"/>
          <w:lang w:val="en-US"/>
        </w:rPr>
        <w:t>2030</w:t>
      </w:r>
      <w:r>
        <w:rPr>
          <w:rFonts w:hint="eastAsia" w:ascii="宋体" w:hAnsi="宋体"/>
          <w:color w:val="auto"/>
          <w:sz w:val="32"/>
          <w:lang w:val="zh-CN"/>
        </w:rPr>
        <w:t>年取得急救培训证书的人员分别达到</w:t>
      </w:r>
      <w:r>
        <w:rPr>
          <w:rFonts w:hint="default" w:ascii="Times New Roman" w:hAnsi="Times New Roman" w:eastAsia="Times New Roman"/>
          <w:color w:val="auto"/>
          <w:sz w:val="32"/>
          <w:lang w:val="en-US"/>
        </w:rPr>
        <w:t>1%</w:t>
      </w:r>
      <w:r>
        <w:rPr>
          <w:rFonts w:hint="eastAsia" w:ascii="宋体" w:hAnsi="宋体"/>
          <w:color w:val="auto"/>
          <w:sz w:val="32"/>
          <w:lang w:val="zh-CN"/>
        </w:rPr>
        <w:t>和</w:t>
      </w:r>
      <w:r>
        <w:rPr>
          <w:rFonts w:hint="default" w:ascii="Times New Roman" w:hAnsi="Times New Roman" w:eastAsia="Times New Roman"/>
          <w:color w:val="auto"/>
          <w:sz w:val="32"/>
          <w:lang w:val="en-US"/>
        </w:rPr>
        <w:t>3%</w:t>
      </w:r>
      <w:r>
        <w:rPr>
          <w:rFonts w:hint="eastAsia" w:ascii="宋体" w:hAnsi="宋体"/>
          <w:color w:val="auto"/>
          <w:sz w:val="32"/>
          <w:lang w:val="zh-CN"/>
        </w:rPr>
        <w:t>，按照师生</w:t>
      </w:r>
      <w:r>
        <w:rPr>
          <w:rFonts w:hint="default" w:ascii="Times New Roman" w:hAnsi="Times New Roman" w:eastAsia="Times New Roman"/>
          <w:color w:val="auto"/>
          <w:sz w:val="32"/>
          <w:lang w:val="en-US"/>
        </w:rPr>
        <w:t>1</w:t>
      </w:r>
      <w:r>
        <w:rPr>
          <w:rFonts w:hint="eastAsia" w:ascii="宋体" w:hAnsi="宋体"/>
          <w:color w:val="auto"/>
          <w:sz w:val="32"/>
          <w:lang w:val="zh-CN"/>
        </w:rPr>
        <w:t>∶</w:t>
      </w:r>
      <w:r>
        <w:rPr>
          <w:rFonts w:hint="default" w:ascii="Times New Roman" w:hAnsi="Times New Roman" w:eastAsia="Times New Roman"/>
          <w:color w:val="auto"/>
          <w:sz w:val="32"/>
          <w:lang w:val="en-US"/>
        </w:rPr>
        <w:t>50</w:t>
      </w:r>
      <w:r>
        <w:rPr>
          <w:rFonts w:hint="eastAsia" w:ascii="宋体" w:hAnsi="宋体"/>
          <w:color w:val="auto"/>
          <w:sz w:val="32"/>
          <w:lang w:val="zh-CN"/>
        </w:rPr>
        <w:t>的比例对中小学教职人员进行急救员公益培训。完善公共场所急救设施设备配备标准，在学校、机关、企事业单位和机场、车站、港口客运站、大型商场、电影院等人员密集场所配备急救药品、器材和设施，配备自动体外除颤器（</w:t>
      </w:r>
      <w:r>
        <w:rPr>
          <w:rFonts w:hint="default" w:ascii="Times New Roman" w:hAnsi="Times New Roman" w:eastAsia="Times New Roman"/>
          <w:color w:val="auto"/>
          <w:sz w:val="32"/>
          <w:lang w:val="en-US"/>
        </w:rPr>
        <w:t>AED</w:t>
      </w:r>
      <w:r>
        <w:rPr>
          <w:rFonts w:hint="eastAsia" w:ascii="宋体" w:hAnsi="宋体"/>
          <w:color w:val="auto"/>
          <w:sz w:val="32"/>
          <w:lang w:val="zh-CN"/>
        </w:rPr>
        <w:t>）。每</w:t>
      </w:r>
      <w:r>
        <w:rPr>
          <w:rFonts w:hint="default" w:ascii="Times New Roman" w:hAnsi="Times New Roman" w:eastAsia="Times New Roman"/>
          <w:color w:val="auto"/>
          <w:sz w:val="32"/>
          <w:lang w:val="en-US"/>
        </w:rPr>
        <w:t>5</w:t>
      </w:r>
      <w:r>
        <w:rPr>
          <w:rFonts w:hint="eastAsia" w:ascii="宋体" w:hAnsi="宋体"/>
          <w:color w:val="auto"/>
          <w:sz w:val="32"/>
          <w:lang w:val="zh-CN"/>
        </w:rPr>
        <w:t>万人配置</w:t>
      </w:r>
      <w:r>
        <w:rPr>
          <w:rFonts w:hint="default" w:ascii="Times New Roman" w:hAnsi="Times New Roman" w:eastAsia="Times New Roman"/>
          <w:color w:val="auto"/>
          <w:sz w:val="32"/>
          <w:lang w:val="en-US"/>
        </w:rPr>
        <w:t>1</w:t>
      </w:r>
      <w:r>
        <w:rPr>
          <w:rFonts w:hint="eastAsia" w:ascii="宋体" w:hAnsi="宋体"/>
          <w:color w:val="auto"/>
          <w:sz w:val="32"/>
          <w:lang w:val="zh-CN"/>
        </w:rPr>
        <w:t>辆救护车，缩短急救反应时间，院前医疗急救机构电话</w:t>
      </w:r>
      <w:r>
        <w:rPr>
          <w:rFonts w:hint="default" w:ascii="Times New Roman" w:hAnsi="Times New Roman" w:eastAsia="Times New Roman"/>
          <w:color w:val="auto"/>
          <w:sz w:val="32"/>
          <w:lang w:val="en-US"/>
        </w:rPr>
        <w:t>10</w:t>
      </w:r>
      <w:r>
        <w:rPr>
          <w:rFonts w:hint="eastAsia" w:ascii="宋体" w:hAnsi="宋体"/>
          <w:color w:val="auto"/>
          <w:sz w:val="32"/>
          <w:lang w:val="zh-CN"/>
        </w:rPr>
        <w:t>秒接听率</w:t>
      </w:r>
      <w:r>
        <w:rPr>
          <w:rFonts w:hint="default" w:ascii="Times New Roman" w:hAnsi="Times New Roman" w:eastAsia="Times New Roman"/>
          <w:color w:val="auto"/>
          <w:sz w:val="32"/>
          <w:lang w:val="en-US"/>
        </w:rPr>
        <w:t>100</w:t>
      </w:r>
      <w:r>
        <w:rPr>
          <w:rFonts w:hint="eastAsia" w:ascii="宋体" w:hAnsi="宋体"/>
          <w:color w:val="auto"/>
          <w:sz w:val="32"/>
          <w:lang w:val="zh-CN"/>
        </w:rPr>
        <w:t>％，提高救护车接报后</w:t>
      </w:r>
      <w:r>
        <w:rPr>
          <w:rFonts w:hint="default" w:ascii="Times New Roman" w:hAnsi="Times New Roman" w:eastAsia="Times New Roman"/>
          <w:color w:val="auto"/>
          <w:sz w:val="32"/>
          <w:lang w:val="en-US"/>
        </w:rPr>
        <w:t>5</w:t>
      </w:r>
      <w:r>
        <w:rPr>
          <w:rFonts w:hint="eastAsia" w:ascii="宋体" w:hAnsi="宋体"/>
          <w:color w:val="auto"/>
          <w:sz w:val="32"/>
          <w:lang w:val="zh-CN"/>
        </w:rPr>
        <w:t>分钟内的发车率。（卫生健康委牵头，教育部、财政部、中国红十字会总会等按职责分工负责）</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2.</w:t>
      </w:r>
      <w:r>
        <w:rPr>
          <w:rFonts w:hint="eastAsia" w:ascii="宋体" w:hAnsi="宋体"/>
          <w:color w:val="auto"/>
          <w:sz w:val="32"/>
          <w:lang w:val="zh-CN"/>
        </w:rPr>
        <w:t>全面实施</w:t>
      </w:r>
      <w:r>
        <w:rPr>
          <w:rFonts w:hint="default" w:ascii="Times New Roman" w:hAnsi="Times New Roman" w:eastAsia="Times New Roman"/>
          <w:color w:val="auto"/>
          <w:sz w:val="32"/>
          <w:lang w:val="en-US"/>
        </w:rPr>
        <w:t>35</w:t>
      </w:r>
      <w:r>
        <w:rPr>
          <w:rFonts w:hint="eastAsia" w:ascii="宋体" w:hAnsi="宋体"/>
          <w:color w:val="auto"/>
          <w:sz w:val="32"/>
          <w:lang w:val="zh-CN"/>
        </w:rPr>
        <w:t>岁以上人群首诊测血压制度。基层医疗卫生机构为辖区</w:t>
      </w:r>
      <w:r>
        <w:rPr>
          <w:rFonts w:hint="default" w:ascii="Times New Roman" w:hAnsi="Times New Roman" w:eastAsia="Times New Roman"/>
          <w:color w:val="auto"/>
          <w:sz w:val="32"/>
          <w:lang w:val="en-US"/>
        </w:rPr>
        <w:t>35</w:t>
      </w:r>
      <w:r>
        <w:rPr>
          <w:rFonts w:hint="eastAsia" w:ascii="宋体" w:hAnsi="宋体"/>
          <w:color w:val="auto"/>
          <w:sz w:val="32"/>
          <w:lang w:val="zh-CN"/>
        </w:rPr>
        <w:t>岁及以上常住居民中原发性高血压患者提供规范的健康管理服务。乡镇卫生院和社区卫生服务中心应配备血脂检测仪器，扩大心脑血管疾病高危人群筛查干预覆盖面，在医院就诊人群中开展心脑血管疾病机会性筛查。增加高血压检出的设备与场所。（卫生健康委牵头，财政部等按职责分工负责）</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3.</w:t>
      </w:r>
      <w:r>
        <w:rPr>
          <w:rFonts w:hint="eastAsia" w:ascii="宋体" w:hAnsi="宋体"/>
          <w:color w:val="auto"/>
          <w:sz w:val="32"/>
          <w:lang w:val="zh-CN"/>
        </w:rPr>
        <w:t>推进</w:t>
      </w:r>
      <w:r>
        <w:rPr>
          <w:rFonts w:hint="default" w:ascii="宋体" w:hAnsi="宋体"/>
          <w:color w:val="auto"/>
          <w:sz w:val="32"/>
          <w:lang w:val="zh-CN"/>
        </w:rPr>
        <w:t>“</w:t>
      </w:r>
      <w:r>
        <w:rPr>
          <w:rFonts w:hint="eastAsia" w:ascii="宋体" w:hAnsi="宋体"/>
          <w:color w:val="auto"/>
          <w:sz w:val="32"/>
          <w:lang w:val="zh-CN"/>
        </w:rPr>
        <w:t>三高</w:t>
      </w:r>
      <w:r>
        <w:rPr>
          <w:rFonts w:hint="default" w:ascii="宋体" w:hAnsi="宋体"/>
          <w:color w:val="auto"/>
          <w:sz w:val="32"/>
          <w:lang w:val="zh-CN"/>
        </w:rPr>
        <w:t>”</w:t>
      </w:r>
      <w:r>
        <w:rPr>
          <w:rFonts w:hint="eastAsia" w:ascii="宋体" w:hAnsi="宋体"/>
          <w:color w:val="auto"/>
          <w:sz w:val="32"/>
          <w:lang w:val="zh-CN"/>
        </w:rPr>
        <w:t>（高血压、高血糖、高血脂）共管，开展超重肥胖、血压血糖增高、血脂异常等高危人群的患病风险评估和干预指导，做好高血压、糖尿病、血脂异常的规范化管理。（卫生健康委、中医药局按职责分工负责）</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4.</w:t>
      </w:r>
      <w:r>
        <w:rPr>
          <w:rFonts w:hint="eastAsia" w:ascii="宋体" w:hAnsi="宋体"/>
          <w:color w:val="auto"/>
          <w:sz w:val="32"/>
          <w:lang w:val="zh-CN"/>
        </w:rPr>
        <w:t>所有市（地）、县依托现有资源建设胸痛中心，形成急性胸痛协同救治网络。继续推进医院卒中中心建设。强化培训、质量控制和督导考核，推广普及适宜技术。（卫生健康委牵头，发展改革委等按职责分工负责）</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5.</w:t>
      </w:r>
      <w:r>
        <w:rPr>
          <w:rFonts w:hint="eastAsia" w:ascii="宋体" w:hAnsi="宋体"/>
          <w:color w:val="auto"/>
          <w:sz w:val="32"/>
          <w:lang w:val="zh-CN"/>
        </w:rPr>
        <w:t>强化脑卒中、胸痛诊疗相关院前急救设备设施配备，推进完善并发布脑卒中、胸痛</w:t>
      </w:r>
      <w:r>
        <w:rPr>
          <w:rFonts w:hint="default" w:ascii="宋体" w:hAnsi="宋体"/>
          <w:color w:val="auto"/>
          <w:sz w:val="32"/>
          <w:lang w:val="zh-CN"/>
        </w:rPr>
        <w:t>“</w:t>
      </w:r>
      <w:r>
        <w:rPr>
          <w:rFonts w:hint="eastAsia" w:ascii="宋体" w:hAnsi="宋体"/>
          <w:color w:val="auto"/>
          <w:sz w:val="32"/>
          <w:lang w:val="zh-CN"/>
        </w:rPr>
        <w:t>急救地图</w:t>
      </w:r>
      <w:r>
        <w:rPr>
          <w:rFonts w:hint="default" w:ascii="宋体" w:hAnsi="宋体"/>
          <w:color w:val="auto"/>
          <w:sz w:val="32"/>
          <w:lang w:val="zh-CN"/>
        </w:rPr>
        <w:t>”</w:t>
      </w:r>
      <w:r>
        <w:rPr>
          <w:rFonts w:hint="eastAsia" w:ascii="宋体" w:hAnsi="宋体"/>
          <w:color w:val="auto"/>
          <w:sz w:val="32"/>
          <w:lang w:val="zh-CN"/>
        </w:rPr>
        <w:t>。建设医院急诊脑卒中、胸痛绿色通道，实现院前急救与院内急诊的互联互通和有效衔接，提高救治效率。二级及以上医院卒中中心具备开展静脉溶栓的能力，脑卒中筛查与防治基地医院和三级医院卒中中心具备开展动脉取栓的能力。加强卒中中心与基层医疗卫生机构的协作联动，提高基层医疗卫生机构溶栓知识知晓率和应对能力。（卫生健康委牵头，发展改革委、财政部按职责分工负责）</w:t>
      </w:r>
    </w:p>
    <w:p>
      <w:pPr>
        <w:spacing w:beforeLines="0" w:afterLines="0" w:line="600" w:lineRule="atLeast"/>
        <w:ind w:firstLine="643"/>
        <w:rPr>
          <w:rFonts w:hint="default" w:ascii="Times New Roman" w:hAnsi="Times New Roman" w:eastAsia="Times New Roman"/>
          <w:b/>
          <w:color w:val="auto"/>
          <w:sz w:val="32"/>
          <w:lang w:val="en-US"/>
        </w:rPr>
      </w:pPr>
      <w:r>
        <w:rPr>
          <w:rFonts w:hint="eastAsia" w:ascii="宋体" w:hAnsi="宋体"/>
          <w:b/>
          <w:color w:val="auto"/>
          <w:sz w:val="32"/>
          <w:lang w:val="zh-CN"/>
        </w:rPr>
        <w:t>（十二）癌症防治行动。</w:t>
      </w:r>
    </w:p>
    <w:p>
      <w:pPr>
        <w:spacing w:beforeLines="0" w:afterLines="0" w:line="600" w:lineRule="atLeast"/>
        <w:ind w:firstLine="640"/>
        <w:rPr>
          <w:rFonts w:hint="default" w:ascii="Times New Roman" w:hAnsi="Times New Roman" w:eastAsia="Times New Roman"/>
          <w:color w:val="auto"/>
          <w:sz w:val="32"/>
          <w:lang w:val="en-US"/>
        </w:rPr>
      </w:pPr>
      <w:r>
        <w:rPr>
          <w:rFonts w:hint="eastAsia" w:ascii="宋体" w:hAnsi="宋体"/>
          <w:color w:val="auto"/>
          <w:sz w:val="32"/>
          <w:lang w:val="zh-CN"/>
        </w:rPr>
        <w:t>癌症严重危害群众健康。《</w:t>
      </w:r>
      <w:r>
        <w:rPr>
          <w:rFonts w:hint="default" w:ascii="Times New Roman" w:hAnsi="Times New Roman" w:eastAsia="Times New Roman"/>
          <w:color w:val="auto"/>
          <w:sz w:val="32"/>
          <w:lang w:val="en-US"/>
        </w:rPr>
        <w:t>2017</w:t>
      </w:r>
      <w:r>
        <w:rPr>
          <w:rFonts w:hint="eastAsia" w:ascii="宋体" w:hAnsi="宋体"/>
          <w:color w:val="auto"/>
          <w:sz w:val="32"/>
          <w:lang w:val="zh-CN"/>
        </w:rPr>
        <w:t>年中国肿瘤登记年报》显示，我国每年新发癌症病例约</w:t>
      </w:r>
      <w:r>
        <w:rPr>
          <w:rFonts w:hint="default" w:ascii="Times New Roman" w:hAnsi="Times New Roman" w:eastAsia="Times New Roman"/>
          <w:color w:val="auto"/>
          <w:sz w:val="32"/>
          <w:lang w:val="en-US"/>
        </w:rPr>
        <w:t>380</w:t>
      </w:r>
      <w:r>
        <w:rPr>
          <w:rFonts w:hint="eastAsia" w:ascii="宋体" w:hAnsi="宋体"/>
          <w:color w:val="auto"/>
          <w:sz w:val="32"/>
          <w:lang w:val="zh-CN"/>
        </w:rPr>
        <w:t>万，死亡人数约</w:t>
      </w:r>
      <w:r>
        <w:rPr>
          <w:rFonts w:hint="default" w:ascii="Times New Roman" w:hAnsi="Times New Roman" w:eastAsia="Times New Roman"/>
          <w:color w:val="auto"/>
          <w:sz w:val="32"/>
          <w:lang w:val="en-US"/>
        </w:rPr>
        <w:t>229</w:t>
      </w:r>
      <w:r>
        <w:rPr>
          <w:rFonts w:hint="eastAsia" w:ascii="宋体" w:hAnsi="宋体"/>
          <w:color w:val="auto"/>
          <w:sz w:val="32"/>
          <w:lang w:val="zh-CN"/>
        </w:rPr>
        <w:t>万，发病率及死亡率呈现逐年上升趋势。随着我国人口老龄化和工业化、城镇化进程不断加快，加之慢性感染、不健康生活方式的广泛流行和环境污染、职业暴露等因素的逐渐累积，我国癌症防控形势仍将十分严峻。国际经验表明，采取积极预防、早期筛查、规范治疗等措施，对于降低癌症的发病率和死亡率具有显著效果。</w:t>
      </w:r>
    </w:p>
    <w:p>
      <w:pPr>
        <w:spacing w:beforeLines="0" w:afterLines="0" w:line="600" w:lineRule="atLeast"/>
        <w:ind w:firstLine="640"/>
        <w:rPr>
          <w:rFonts w:hint="default" w:ascii="Times New Roman" w:hAnsi="Times New Roman" w:eastAsia="Times New Roman"/>
          <w:color w:val="auto"/>
          <w:sz w:val="32"/>
          <w:lang w:val="en-US"/>
        </w:rPr>
      </w:pPr>
      <w:r>
        <w:rPr>
          <w:rFonts w:hint="eastAsia" w:ascii="宋体" w:hAnsi="宋体"/>
          <w:color w:val="auto"/>
          <w:sz w:val="32"/>
          <w:lang w:val="zh-CN"/>
        </w:rPr>
        <w:t>行动目标：</w:t>
      </w:r>
    </w:p>
    <w:p>
      <w:pPr>
        <w:spacing w:beforeLines="0" w:afterLines="0" w:line="600" w:lineRule="atLeast"/>
        <w:ind w:firstLine="640"/>
        <w:rPr>
          <w:rFonts w:hint="default" w:ascii="Times New Roman" w:hAnsi="Times New Roman" w:eastAsia="Times New Roman"/>
          <w:color w:val="auto"/>
          <w:sz w:val="32"/>
          <w:lang w:val="en-US"/>
        </w:rPr>
      </w:pPr>
      <w:r>
        <w:rPr>
          <w:rFonts w:hint="eastAsia" w:ascii="宋体" w:hAnsi="宋体"/>
          <w:color w:val="auto"/>
          <w:sz w:val="32"/>
          <w:lang w:val="zh-CN"/>
        </w:rPr>
        <w:t>到</w:t>
      </w:r>
      <w:r>
        <w:rPr>
          <w:rFonts w:hint="default" w:ascii="Times New Roman" w:hAnsi="Times New Roman" w:eastAsia="Times New Roman"/>
          <w:color w:val="auto"/>
          <w:sz w:val="32"/>
          <w:lang w:val="en-US"/>
        </w:rPr>
        <w:t>2022</w:t>
      </w:r>
      <w:r>
        <w:rPr>
          <w:rFonts w:hint="eastAsia" w:ascii="宋体" w:hAnsi="宋体"/>
          <w:color w:val="auto"/>
          <w:sz w:val="32"/>
          <w:lang w:val="zh-CN"/>
        </w:rPr>
        <w:t>年和</w:t>
      </w:r>
      <w:r>
        <w:rPr>
          <w:rFonts w:hint="default" w:ascii="Times New Roman" w:hAnsi="Times New Roman" w:eastAsia="Times New Roman"/>
          <w:color w:val="auto"/>
          <w:sz w:val="32"/>
          <w:lang w:val="en-US"/>
        </w:rPr>
        <w:t>2030</w:t>
      </w:r>
      <w:r>
        <w:rPr>
          <w:rFonts w:hint="eastAsia" w:ascii="宋体" w:hAnsi="宋体"/>
          <w:color w:val="auto"/>
          <w:sz w:val="32"/>
          <w:lang w:val="zh-CN"/>
        </w:rPr>
        <w:t>年，总体癌症</w:t>
      </w:r>
      <w:r>
        <w:rPr>
          <w:rFonts w:hint="default" w:ascii="Times New Roman" w:hAnsi="Times New Roman" w:eastAsia="Times New Roman"/>
          <w:color w:val="auto"/>
          <w:sz w:val="32"/>
          <w:lang w:val="en-US"/>
        </w:rPr>
        <w:t>5</w:t>
      </w:r>
      <w:r>
        <w:rPr>
          <w:rFonts w:hint="eastAsia" w:ascii="宋体" w:hAnsi="宋体"/>
          <w:color w:val="auto"/>
          <w:sz w:val="32"/>
          <w:lang w:val="zh-CN"/>
        </w:rPr>
        <w:t>年生存率分别不低于</w:t>
      </w:r>
      <w:r>
        <w:rPr>
          <w:rFonts w:hint="default" w:ascii="Times New Roman" w:hAnsi="Times New Roman" w:eastAsia="Times New Roman"/>
          <w:color w:val="auto"/>
          <w:sz w:val="32"/>
          <w:lang w:val="en-US"/>
        </w:rPr>
        <w:t>43.3%</w:t>
      </w:r>
      <w:r>
        <w:rPr>
          <w:rFonts w:hint="eastAsia" w:ascii="宋体" w:hAnsi="宋体"/>
          <w:color w:val="auto"/>
          <w:sz w:val="32"/>
          <w:lang w:val="zh-CN"/>
        </w:rPr>
        <w:t>和</w:t>
      </w:r>
      <w:r>
        <w:rPr>
          <w:rFonts w:hint="default" w:ascii="Times New Roman" w:hAnsi="Times New Roman" w:eastAsia="Times New Roman"/>
          <w:color w:val="auto"/>
          <w:sz w:val="32"/>
          <w:lang w:val="en-US"/>
        </w:rPr>
        <w:t>46.6%</w:t>
      </w:r>
      <w:r>
        <w:rPr>
          <w:rFonts w:hint="eastAsia" w:ascii="宋体" w:hAnsi="宋体"/>
          <w:color w:val="auto"/>
          <w:sz w:val="32"/>
          <w:lang w:val="zh-CN"/>
        </w:rPr>
        <w:t>；癌症防治核心知识知晓率分别不低于</w:t>
      </w:r>
      <w:r>
        <w:rPr>
          <w:rFonts w:hint="default" w:ascii="Times New Roman" w:hAnsi="Times New Roman" w:eastAsia="Times New Roman"/>
          <w:color w:val="auto"/>
          <w:sz w:val="32"/>
          <w:lang w:val="en-US"/>
        </w:rPr>
        <w:t>70%</w:t>
      </w:r>
      <w:r>
        <w:rPr>
          <w:rFonts w:hint="eastAsia" w:ascii="宋体" w:hAnsi="宋体"/>
          <w:color w:val="auto"/>
          <w:sz w:val="32"/>
          <w:lang w:val="zh-CN"/>
        </w:rPr>
        <w:t>和</w:t>
      </w:r>
      <w:r>
        <w:rPr>
          <w:rFonts w:hint="default" w:ascii="Times New Roman" w:hAnsi="Times New Roman" w:eastAsia="Times New Roman"/>
          <w:color w:val="auto"/>
          <w:sz w:val="32"/>
          <w:lang w:val="en-US"/>
        </w:rPr>
        <w:t>80%</w:t>
      </w:r>
      <w:r>
        <w:rPr>
          <w:rFonts w:hint="eastAsia" w:ascii="宋体" w:hAnsi="宋体"/>
          <w:color w:val="auto"/>
          <w:sz w:val="32"/>
          <w:lang w:val="zh-CN"/>
        </w:rPr>
        <w:t>；高发地区重点癌种早诊率达到</w:t>
      </w:r>
      <w:r>
        <w:rPr>
          <w:rFonts w:hint="default" w:ascii="Times New Roman" w:hAnsi="Times New Roman" w:eastAsia="Times New Roman"/>
          <w:color w:val="auto"/>
          <w:sz w:val="32"/>
          <w:lang w:val="en-US"/>
        </w:rPr>
        <w:t>55%</w:t>
      </w:r>
      <w:r>
        <w:rPr>
          <w:rFonts w:hint="eastAsia" w:ascii="宋体" w:hAnsi="宋体"/>
          <w:color w:val="auto"/>
          <w:sz w:val="32"/>
          <w:lang w:val="zh-CN"/>
        </w:rPr>
        <w:t>及以上并持续提高；基本实现癌症高危人群定期参加防癌体检。</w:t>
      </w:r>
    </w:p>
    <w:p>
      <w:pPr>
        <w:spacing w:beforeLines="0" w:afterLines="0" w:line="600" w:lineRule="atLeast"/>
        <w:ind w:firstLine="643"/>
        <w:rPr>
          <w:rFonts w:hint="default" w:ascii="Times New Roman" w:hAnsi="Times New Roman" w:eastAsia="Times New Roman"/>
          <w:b/>
          <w:color w:val="auto"/>
          <w:sz w:val="32"/>
          <w:lang w:val="en-US"/>
        </w:rPr>
      </w:pPr>
      <w:r>
        <w:rPr>
          <w:rFonts w:hint="default" w:ascii="宋体" w:hAnsi="宋体"/>
          <w:b/>
          <w:color w:val="auto"/>
          <w:sz w:val="32"/>
          <w:lang w:val="zh-CN"/>
        </w:rPr>
        <w:t>——</w:t>
      </w:r>
      <w:r>
        <w:rPr>
          <w:rFonts w:hint="eastAsia" w:ascii="宋体" w:hAnsi="宋体"/>
          <w:b/>
          <w:color w:val="auto"/>
          <w:sz w:val="32"/>
          <w:lang w:val="zh-CN"/>
        </w:rPr>
        <w:t>个人：</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1.</w:t>
      </w:r>
      <w:r>
        <w:rPr>
          <w:rFonts w:hint="eastAsia" w:ascii="宋体" w:hAnsi="宋体"/>
          <w:color w:val="auto"/>
          <w:sz w:val="32"/>
          <w:lang w:val="zh-CN"/>
        </w:rPr>
        <w:t>尽早关注癌症预防。癌症的发生是一个多因素、多阶段、复杂渐进的过程，建议每个人尽早学习掌握《癌症防治核心信息及知识要点》，积极预防癌症发生。</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2.</w:t>
      </w:r>
      <w:r>
        <w:rPr>
          <w:rFonts w:hint="eastAsia" w:ascii="宋体" w:hAnsi="宋体"/>
          <w:color w:val="auto"/>
          <w:sz w:val="32"/>
          <w:lang w:val="zh-CN"/>
        </w:rPr>
        <w:t>践行健康生活方式，戒烟限酒、平衡膳食、科学运动、心情舒畅可以有效降低癌症发生。如：戒烟可降低患肺癌的风险，合理饮食可减少结肠癌、乳腺癌、食管癌、肝癌和胃癌的发生。</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3.</w:t>
      </w:r>
      <w:r>
        <w:rPr>
          <w:rFonts w:hint="eastAsia" w:ascii="宋体" w:hAnsi="宋体"/>
          <w:color w:val="auto"/>
          <w:sz w:val="32"/>
          <w:lang w:val="zh-CN"/>
        </w:rPr>
        <w:t>减少致癌相关感染。癌症是不传染的，但一些与癌症发生密切相关的细菌（如幽门螺杆菌）、病毒（如人乳头瘤病毒、肝炎病毒、</w:t>
      </w:r>
      <w:r>
        <w:rPr>
          <w:rFonts w:hint="default" w:ascii="Times New Roman" w:hAnsi="Times New Roman" w:eastAsia="Times New Roman"/>
          <w:color w:val="auto"/>
          <w:sz w:val="32"/>
          <w:lang w:val="en-US"/>
        </w:rPr>
        <w:t>EB</w:t>
      </w:r>
      <w:r>
        <w:rPr>
          <w:rFonts w:hint="eastAsia" w:ascii="宋体" w:hAnsi="宋体"/>
          <w:color w:val="auto"/>
          <w:sz w:val="32"/>
          <w:lang w:val="zh-CN"/>
        </w:rPr>
        <w:t>病毒等）则是会传染的。通过保持个人卫生和健康生活方式、接种疫苗（如肝炎病毒疫苗、人乳头瘤病毒疫苗）可以避免感染相关的细菌和病毒，从而预防癌症的发生。</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4.</w:t>
      </w:r>
      <w:r>
        <w:rPr>
          <w:rFonts w:hint="eastAsia" w:ascii="宋体" w:hAnsi="宋体"/>
          <w:color w:val="auto"/>
          <w:sz w:val="32"/>
          <w:lang w:val="zh-CN"/>
        </w:rPr>
        <w:t>定期防癌体检。规范的防癌体检是发现癌症和癌前病变的重要途径。目前的技术手段可以早期发现大部分的常见癌症，如使用胃肠镜可以发现消化道癌，采用醋酸染色肉眼观察</w:t>
      </w:r>
      <w:r>
        <w:rPr>
          <w:rFonts w:hint="default" w:ascii="Times New Roman" w:hAnsi="Times New Roman" w:eastAsia="Times New Roman"/>
          <w:color w:val="auto"/>
          <w:sz w:val="32"/>
          <w:lang w:val="en-US"/>
        </w:rPr>
        <w:t>/</w:t>
      </w:r>
      <w:r>
        <w:rPr>
          <w:rFonts w:hint="eastAsia" w:ascii="宋体" w:hAnsi="宋体"/>
          <w:color w:val="auto"/>
          <w:sz w:val="32"/>
          <w:lang w:val="zh-CN"/>
        </w:rPr>
        <w:t>碘染色肉眼观察（</w:t>
      </w:r>
      <w:r>
        <w:rPr>
          <w:rFonts w:hint="default" w:ascii="Times New Roman" w:hAnsi="Times New Roman" w:eastAsia="Times New Roman"/>
          <w:color w:val="auto"/>
          <w:sz w:val="32"/>
          <w:lang w:val="en-US"/>
        </w:rPr>
        <w:t>VIA/VILI</w:t>
      </w:r>
      <w:r>
        <w:rPr>
          <w:rFonts w:hint="eastAsia" w:ascii="宋体" w:hAnsi="宋体"/>
          <w:color w:val="auto"/>
          <w:sz w:val="32"/>
          <w:lang w:val="zh-CN"/>
        </w:rPr>
        <w:t>）、宫颈脱落细胞学检查或高危型人乳头瘤病毒（</w:t>
      </w:r>
      <w:r>
        <w:rPr>
          <w:rFonts w:hint="default" w:ascii="Times New Roman" w:hAnsi="Times New Roman" w:eastAsia="Times New Roman"/>
          <w:color w:val="auto"/>
          <w:sz w:val="32"/>
          <w:lang w:val="en-US"/>
        </w:rPr>
        <w:t>HPV</w:t>
      </w:r>
      <w:r>
        <w:rPr>
          <w:rFonts w:hint="eastAsia" w:ascii="宋体" w:hAnsi="宋体"/>
          <w:color w:val="auto"/>
          <w:sz w:val="32"/>
          <w:lang w:val="zh-CN"/>
        </w:rPr>
        <w:t>）</w:t>
      </w:r>
      <w:r>
        <w:rPr>
          <w:rFonts w:hint="default" w:ascii="Times New Roman" w:hAnsi="Times New Roman" w:eastAsia="Times New Roman"/>
          <w:color w:val="auto"/>
          <w:sz w:val="32"/>
          <w:lang w:val="en-US"/>
        </w:rPr>
        <w:t>DNA</w:t>
      </w:r>
      <w:r>
        <w:rPr>
          <w:rFonts w:hint="eastAsia" w:ascii="宋体" w:hAnsi="宋体"/>
          <w:color w:val="auto"/>
          <w:sz w:val="32"/>
          <w:lang w:val="zh-CN"/>
        </w:rPr>
        <w:t>检测，可以发现宫颈癌，胸部低剂量螺旋</w:t>
      </w:r>
      <w:r>
        <w:rPr>
          <w:rFonts w:hint="default" w:ascii="Times New Roman" w:hAnsi="Times New Roman" w:eastAsia="Times New Roman"/>
          <w:color w:val="auto"/>
          <w:sz w:val="32"/>
          <w:lang w:val="en-US"/>
        </w:rPr>
        <w:t xml:space="preserve"> CT </w:t>
      </w:r>
      <w:r>
        <w:rPr>
          <w:rFonts w:hint="eastAsia" w:ascii="宋体" w:hAnsi="宋体"/>
          <w:color w:val="auto"/>
          <w:sz w:val="32"/>
          <w:lang w:val="zh-CN"/>
        </w:rPr>
        <w:t>可以发现肺癌，超声结合钼靶可以发现乳腺癌。建议高危人群选择专业的体检机构进行定期防癌体检，根据个体年龄、既往检查结果等选择合适的体检间隔时间。</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5.</w:t>
      </w:r>
      <w:r>
        <w:rPr>
          <w:rFonts w:hint="eastAsia" w:ascii="宋体" w:hAnsi="宋体"/>
          <w:color w:val="auto"/>
          <w:sz w:val="32"/>
          <w:lang w:val="zh-CN"/>
        </w:rPr>
        <w:t>密切关注癌症危险信号。如：身体浅表部位出现的异常肿块；体表黑痣和疣等在短期内色泽加深或迅速增大；身体出现哽咽感、疼痛等异常感觉；皮肤或黏膜出现经久不愈的溃疡；持续性消化不良和食欲减退；大便习惯及性状改变或带血；持久性声音嘶哑、干咳、痰中带血；听力异常，流鼻血，头痛；阴道异常出血，特别是接触性出血；无痛性血尿，排尿不畅；不明原因的发热、乏力、进行性体重减轻等。出现上述症状时建议及时就医。</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6.</w:t>
      </w:r>
      <w:r>
        <w:rPr>
          <w:rFonts w:hint="eastAsia" w:ascii="宋体" w:hAnsi="宋体"/>
          <w:color w:val="auto"/>
          <w:sz w:val="32"/>
          <w:lang w:val="zh-CN"/>
        </w:rPr>
        <w:t>接受规范治疗。癌症患者要到正规医院进行规范化治疗，不要轻信偏方或虚假广告，以免贻误治疗时机。</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7.</w:t>
      </w:r>
      <w:r>
        <w:rPr>
          <w:rFonts w:hint="eastAsia" w:ascii="宋体" w:hAnsi="宋体"/>
          <w:color w:val="auto"/>
          <w:sz w:val="32"/>
          <w:lang w:val="zh-CN"/>
        </w:rPr>
        <w:t>重视康复治疗。要正视癌症，积极调整身体免疫力，保持良好心理状态，达到病情长期稳定。疼痛是癌症患者最常见、最主要的症状，可以在医生帮助下通过科学的止痛方法积极处理疼痛。</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8.</w:t>
      </w:r>
      <w:r>
        <w:rPr>
          <w:rFonts w:hint="eastAsia" w:ascii="宋体" w:hAnsi="宋体"/>
          <w:color w:val="auto"/>
          <w:sz w:val="32"/>
          <w:lang w:val="zh-CN"/>
        </w:rPr>
        <w:t>合理膳食营养。癌症患者的食物摄入可参考《恶性肿瘤患者膳食指导》。保持每天适量的谷类食物、豆制品、蔬菜和水果摄入。在胃肠道功能正常的情况下，注意粗细搭配，适当多吃鱼、禽肉、蛋类，减少红肉摄入，对于胃肠道损伤患者，推荐制作软烂细碎的动物性食品。在抗肿瘤治疗期和康复期膳食摄入不足，且在经膳食指导仍不能满足目标需要量时，可积极接受肠内、肠外营养支持治疗。不吃霉变食物，限制烧烤（火烧、炭烧）、腌制和煎炸的动物性食物的摄入。</w:t>
      </w:r>
    </w:p>
    <w:p>
      <w:pPr>
        <w:spacing w:beforeLines="0" w:afterLines="0" w:line="600" w:lineRule="atLeast"/>
        <w:ind w:firstLine="643"/>
        <w:rPr>
          <w:rFonts w:hint="default" w:ascii="Times New Roman" w:hAnsi="Times New Roman" w:eastAsia="Times New Roman"/>
          <w:b/>
          <w:color w:val="auto"/>
          <w:sz w:val="32"/>
          <w:lang w:val="en-US"/>
        </w:rPr>
      </w:pPr>
      <w:r>
        <w:rPr>
          <w:rFonts w:hint="default" w:ascii="宋体" w:hAnsi="宋体"/>
          <w:b/>
          <w:color w:val="auto"/>
          <w:sz w:val="32"/>
          <w:lang w:val="zh-CN"/>
        </w:rPr>
        <w:t>——</w:t>
      </w:r>
      <w:r>
        <w:rPr>
          <w:rFonts w:hint="eastAsia" w:ascii="宋体" w:hAnsi="宋体"/>
          <w:b/>
          <w:color w:val="auto"/>
          <w:sz w:val="32"/>
          <w:lang w:val="zh-CN"/>
        </w:rPr>
        <w:t>社会和政府：</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1.</w:t>
      </w:r>
      <w:r>
        <w:rPr>
          <w:rFonts w:hint="eastAsia" w:ascii="宋体" w:hAnsi="宋体"/>
          <w:color w:val="auto"/>
          <w:sz w:val="32"/>
          <w:lang w:val="zh-CN"/>
        </w:rPr>
        <w:t>对发病率高、筛查手段和技术方案比较成熟的胃癌、食管癌、结直肠癌、肺癌、宫颈癌、乳腺癌等重点癌症，制定筛查与早诊早治指南。各地根据本地区癌症流行状况，创造条件普遍开展癌症机会性筛查。（卫生健康委牵头，财政部按职责负责）</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2.</w:t>
      </w:r>
      <w:r>
        <w:rPr>
          <w:rFonts w:hint="eastAsia" w:ascii="宋体" w:hAnsi="宋体"/>
          <w:color w:val="auto"/>
          <w:sz w:val="32"/>
          <w:lang w:val="zh-CN"/>
        </w:rPr>
        <w:t>制定工作场所防癌抗癌指南，开展工作场所致癌职业病危害因素的定期检测、评价和个体防护管理工作。（卫生健康委牵头，全国总工会按职责负责）</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3.</w:t>
      </w:r>
      <w:r>
        <w:rPr>
          <w:rFonts w:hint="eastAsia" w:ascii="宋体" w:hAnsi="宋体"/>
          <w:color w:val="auto"/>
          <w:sz w:val="32"/>
          <w:lang w:val="zh-CN"/>
        </w:rPr>
        <w:t>制定并推广应用常见癌症诊疗规范和临床路径，创新中医药与现代技术相结合的中医癌症诊疗模式，提高临床疗效。做好患者康复指导、疼痛管理、长期护理、营养和心理支持，提高癌症患者生存质量。重视对癌症晚期患者的管理，推进安宁疗护试点工作。（卫生健康委、中医药局牵头，科技部、民政部按职责分工负责）</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4.</w:t>
      </w:r>
      <w:r>
        <w:rPr>
          <w:rFonts w:hint="eastAsia" w:ascii="宋体" w:hAnsi="宋体"/>
          <w:color w:val="auto"/>
          <w:sz w:val="32"/>
          <w:lang w:val="zh-CN"/>
        </w:rPr>
        <w:t>开展癌症筛查、诊断、手术、化疗、放疗、介入等诊疗技术人员培训。推进诊疗新技术应用及管理。通过疑难病症诊治能力提升工程，加强中西部地区及基层能力，提高癌症防治同质化水平。（卫生健康委牵头，发展改革委、财政部按职责分工负责）</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5.</w:t>
      </w:r>
      <w:r>
        <w:rPr>
          <w:rFonts w:hint="eastAsia" w:ascii="宋体" w:hAnsi="宋体"/>
          <w:color w:val="auto"/>
          <w:sz w:val="32"/>
          <w:lang w:val="zh-CN"/>
        </w:rPr>
        <w:t>促进基本医疗保险、大病保险、医疗救助、应急救助、商业健康保险及慈善救助等制度间的互补联动和有效衔接，形成保障合力，切实降低癌症患者就医负担。（民政部、卫生健康委、医保局、银保监会按职责分工负责）</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6.</w:t>
      </w:r>
      <w:r>
        <w:rPr>
          <w:rFonts w:hint="eastAsia" w:ascii="宋体" w:hAnsi="宋体"/>
          <w:color w:val="auto"/>
          <w:sz w:val="32"/>
          <w:lang w:val="zh-CN"/>
        </w:rPr>
        <w:t>建立完善抗癌药物临床综合评价体系，针对临床急需的抗癌药物，加快审评审批流程。完善医保目录动态调整机制，按规定将符合条件的抗癌药物纳入医保目录。（财政部、卫生健康委、医保局、药监局按职责分工负责）</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7.</w:t>
      </w:r>
      <w:r>
        <w:rPr>
          <w:rFonts w:hint="eastAsia" w:ascii="宋体" w:hAnsi="宋体"/>
          <w:color w:val="auto"/>
          <w:sz w:val="32"/>
          <w:lang w:val="zh-CN"/>
        </w:rPr>
        <w:t>加强农村贫困人口癌症筛查，继续开展农村贫困人口大病专项救治，针对农村特困人员和低保对象开展食管癌、胃癌、结肠癌、直肠癌、宫颈癌、乳腺癌和肺癌等重点癌症的集中救治。（卫生健康委牵头，民政部、医保局、国务院扶贫办按职责分工负责）</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8.</w:t>
      </w:r>
      <w:r>
        <w:rPr>
          <w:rFonts w:hint="eastAsia" w:ascii="宋体" w:hAnsi="宋体"/>
          <w:color w:val="auto"/>
          <w:sz w:val="32"/>
          <w:lang w:val="zh-CN"/>
        </w:rPr>
        <w:t>健全死因监测和肿瘤登记报告制度，所有县区开展死因监测和肿瘤登记工作，定期发布国家和省级肿瘤登记报告。搭建国家癌症大数据平台，建成覆盖全国的癌症病例登记系统，开展癌症临床数据分析研究，为癌症诊治提供决策支持。（卫生健康委牵头，发展改革委按职责负责）</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9.</w:t>
      </w:r>
      <w:r>
        <w:rPr>
          <w:rFonts w:hint="eastAsia" w:ascii="宋体" w:hAnsi="宋体"/>
          <w:color w:val="auto"/>
          <w:sz w:val="32"/>
          <w:lang w:val="zh-CN"/>
        </w:rPr>
        <w:t>在国家科技计划中进一步针对目前癌症防治攻关中亟需解决的薄弱环节加强科技创新部署。在科技创新</w:t>
      </w:r>
      <w:r>
        <w:rPr>
          <w:rFonts w:hint="default" w:ascii="Times New Roman" w:hAnsi="Times New Roman" w:eastAsia="Times New Roman"/>
          <w:color w:val="auto"/>
          <w:sz w:val="32"/>
          <w:lang w:val="en-US"/>
        </w:rPr>
        <w:t>2030</w:t>
      </w:r>
      <w:r>
        <w:rPr>
          <w:rFonts w:hint="eastAsia" w:ascii="宋体" w:hAnsi="宋体"/>
          <w:color w:val="auto"/>
          <w:sz w:val="32"/>
          <w:lang w:val="zh-CN"/>
        </w:rPr>
        <w:t>重大项目中，强化癌症防治的基础前沿研究、诊治技术和应用示范的全链条部署。充分发挥国家临床医学研究中心及其协同网络在临床研究、成果转化、推广应用方面的引领示范带动作用，持续提升我国癌症防治的整体科技水平。（科技部、卫生健康委等按职责分工负责）</w:t>
      </w:r>
    </w:p>
    <w:p>
      <w:pPr>
        <w:spacing w:beforeLines="0" w:afterLines="0" w:line="600" w:lineRule="atLeast"/>
        <w:ind w:firstLine="643"/>
        <w:rPr>
          <w:rFonts w:hint="default" w:ascii="Times New Roman" w:hAnsi="Times New Roman" w:eastAsia="Times New Roman"/>
          <w:b/>
          <w:color w:val="auto"/>
          <w:sz w:val="32"/>
          <w:lang w:val="en-US"/>
        </w:rPr>
      </w:pPr>
      <w:r>
        <w:rPr>
          <w:rFonts w:hint="eastAsia" w:ascii="宋体" w:hAnsi="宋体"/>
          <w:b/>
          <w:color w:val="auto"/>
          <w:sz w:val="32"/>
          <w:lang w:val="zh-CN"/>
        </w:rPr>
        <w:t>（十三）慢性呼吸系统疾病防治行动。</w:t>
      </w:r>
    </w:p>
    <w:p>
      <w:pPr>
        <w:spacing w:beforeLines="0" w:afterLines="0" w:line="600" w:lineRule="atLeast"/>
        <w:ind w:firstLine="640"/>
        <w:rPr>
          <w:rFonts w:hint="default" w:ascii="Times New Roman" w:hAnsi="Times New Roman" w:eastAsia="Times New Roman"/>
          <w:color w:val="auto"/>
          <w:sz w:val="32"/>
          <w:lang w:val="en-US"/>
        </w:rPr>
      </w:pPr>
      <w:r>
        <w:rPr>
          <w:rFonts w:hint="eastAsia" w:ascii="宋体" w:hAnsi="宋体"/>
          <w:color w:val="auto"/>
          <w:sz w:val="32"/>
          <w:lang w:val="zh-CN"/>
        </w:rPr>
        <w:t>慢性呼吸系统疾病是以慢性阻塞性肺疾病（以下简称慢阻肺）、哮喘等为代表的一系列疾病。我国</w:t>
      </w:r>
      <w:r>
        <w:rPr>
          <w:rFonts w:hint="default" w:ascii="Times New Roman" w:hAnsi="Times New Roman" w:eastAsia="Times New Roman"/>
          <w:color w:val="auto"/>
          <w:sz w:val="32"/>
          <w:lang w:val="en-US"/>
        </w:rPr>
        <w:t>40</w:t>
      </w:r>
      <w:r>
        <w:rPr>
          <w:rFonts w:hint="eastAsia" w:ascii="宋体" w:hAnsi="宋体"/>
          <w:color w:val="auto"/>
          <w:sz w:val="32"/>
          <w:lang w:val="zh-CN"/>
        </w:rPr>
        <w:t>岁及以上人群慢阻肺患病率为</w:t>
      </w:r>
      <w:r>
        <w:rPr>
          <w:rFonts w:hint="default" w:ascii="Times New Roman" w:hAnsi="Times New Roman" w:eastAsia="Times New Roman"/>
          <w:color w:val="auto"/>
          <w:sz w:val="32"/>
          <w:lang w:val="en-US"/>
        </w:rPr>
        <w:t>13.6%</w:t>
      </w:r>
      <w:r>
        <w:rPr>
          <w:rFonts w:hint="eastAsia" w:ascii="宋体" w:hAnsi="宋体"/>
          <w:color w:val="auto"/>
          <w:sz w:val="32"/>
          <w:lang w:val="zh-CN"/>
        </w:rPr>
        <w:t>，总患病人数近</w:t>
      </w:r>
      <w:r>
        <w:rPr>
          <w:rFonts w:hint="default" w:ascii="Times New Roman" w:hAnsi="Times New Roman" w:eastAsia="Times New Roman"/>
          <w:color w:val="auto"/>
          <w:sz w:val="32"/>
          <w:lang w:val="en-US"/>
        </w:rPr>
        <w:t>1</w:t>
      </w:r>
      <w:r>
        <w:rPr>
          <w:rFonts w:hint="eastAsia" w:ascii="宋体" w:hAnsi="宋体"/>
          <w:color w:val="auto"/>
          <w:sz w:val="32"/>
          <w:lang w:val="zh-CN"/>
        </w:rPr>
        <w:t>亿。慢阻肺具有高患病率、高致残率、高病死率和高疾病负担的特点，患病周期长、反复急性加重、有多种合并症，严重影响中老年患者的预后和生活质量。我国哮喘患者超过</w:t>
      </w:r>
      <w:r>
        <w:rPr>
          <w:rFonts w:hint="default" w:ascii="Times New Roman" w:hAnsi="Times New Roman" w:eastAsia="Times New Roman"/>
          <w:color w:val="auto"/>
          <w:sz w:val="32"/>
          <w:lang w:val="en-US"/>
        </w:rPr>
        <w:t>3000</w:t>
      </w:r>
      <w:r>
        <w:rPr>
          <w:rFonts w:hint="eastAsia" w:ascii="宋体" w:hAnsi="宋体"/>
          <w:color w:val="auto"/>
          <w:sz w:val="32"/>
          <w:lang w:val="zh-CN"/>
        </w:rPr>
        <w:t>万人，因病程长、反复发作，导致误工误学，影响儿童生长发育和患者生活质量。慢阻肺最重要的危险因素是吸烟、室内外空气污染物以及职业性粉尘和化学物质的吸入。哮喘的主要危险因素包括遗传性易感因素、环境过敏原的暴露、空气污染、病毒感染等。通过积极控制相关危险因素，可以有效预防慢性呼吸系统疾病的发生发展，显著提高患者预后和生活质量。</w:t>
      </w:r>
    </w:p>
    <w:p>
      <w:pPr>
        <w:spacing w:beforeLines="0" w:afterLines="0" w:line="600" w:lineRule="atLeast"/>
        <w:ind w:firstLine="640"/>
        <w:rPr>
          <w:rFonts w:hint="default" w:ascii="Times New Roman" w:hAnsi="Times New Roman" w:eastAsia="Times New Roman"/>
          <w:color w:val="auto"/>
          <w:sz w:val="32"/>
          <w:lang w:val="en-US"/>
        </w:rPr>
      </w:pPr>
      <w:r>
        <w:rPr>
          <w:rFonts w:hint="eastAsia" w:ascii="宋体" w:hAnsi="宋体"/>
          <w:color w:val="auto"/>
          <w:sz w:val="32"/>
          <w:lang w:val="zh-CN"/>
        </w:rPr>
        <w:t>行动目标：</w:t>
      </w:r>
    </w:p>
    <w:p>
      <w:pPr>
        <w:spacing w:beforeLines="0" w:afterLines="0" w:line="600" w:lineRule="atLeast"/>
        <w:ind w:firstLine="640"/>
        <w:rPr>
          <w:rFonts w:hint="default" w:ascii="Times New Roman" w:hAnsi="Times New Roman" w:eastAsia="Times New Roman"/>
          <w:color w:val="auto"/>
          <w:sz w:val="32"/>
          <w:lang w:val="en-US"/>
        </w:rPr>
      </w:pPr>
      <w:r>
        <w:rPr>
          <w:rFonts w:hint="eastAsia" w:ascii="宋体" w:hAnsi="宋体"/>
          <w:color w:val="auto"/>
          <w:sz w:val="32"/>
          <w:lang w:val="zh-CN"/>
        </w:rPr>
        <w:t>到</w:t>
      </w:r>
      <w:r>
        <w:rPr>
          <w:rFonts w:hint="default" w:ascii="Times New Roman" w:hAnsi="Times New Roman" w:eastAsia="Times New Roman"/>
          <w:color w:val="auto"/>
          <w:sz w:val="32"/>
          <w:lang w:val="en-US"/>
        </w:rPr>
        <w:t>2022</w:t>
      </w:r>
      <w:r>
        <w:rPr>
          <w:rFonts w:hint="eastAsia" w:ascii="宋体" w:hAnsi="宋体"/>
          <w:color w:val="auto"/>
          <w:sz w:val="32"/>
          <w:lang w:val="zh-CN"/>
        </w:rPr>
        <w:t>年和</w:t>
      </w:r>
      <w:r>
        <w:rPr>
          <w:rFonts w:hint="default" w:ascii="Times New Roman" w:hAnsi="Times New Roman" w:eastAsia="Times New Roman"/>
          <w:color w:val="auto"/>
          <w:sz w:val="32"/>
          <w:lang w:val="en-US"/>
        </w:rPr>
        <w:t>2030</w:t>
      </w:r>
      <w:r>
        <w:rPr>
          <w:rFonts w:hint="eastAsia" w:ascii="宋体" w:hAnsi="宋体"/>
          <w:color w:val="auto"/>
          <w:sz w:val="32"/>
          <w:lang w:val="zh-CN"/>
        </w:rPr>
        <w:t>年，</w:t>
      </w:r>
      <w:r>
        <w:rPr>
          <w:rFonts w:hint="default" w:ascii="Times New Roman" w:hAnsi="Times New Roman" w:eastAsia="Times New Roman"/>
          <w:color w:val="auto"/>
          <w:sz w:val="32"/>
          <w:lang w:val="en-US"/>
        </w:rPr>
        <w:t>70</w:t>
      </w:r>
      <w:r>
        <w:rPr>
          <w:rFonts w:hint="eastAsia" w:ascii="宋体" w:hAnsi="宋体"/>
          <w:color w:val="auto"/>
          <w:sz w:val="32"/>
          <w:lang w:val="zh-CN"/>
        </w:rPr>
        <w:t>岁及以下人群慢性呼吸系统疾病死亡率下降到</w:t>
      </w:r>
      <w:r>
        <w:rPr>
          <w:rFonts w:hint="default" w:ascii="Times New Roman" w:hAnsi="Times New Roman" w:eastAsia="Times New Roman"/>
          <w:color w:val="auto"/>
          <w:sz w:val="32"/>
          <w:lang w:val="en-US"/>
        </w:rPr>
        <w:t>9/10</w:t>
      </w:r>
      <w:r>
        <w:rPr>
          <w:rFonts w:hint="eastAsia" w:ascii="宋体" w:hAnsi="宋体"/>
          <w:color w:val="auto"/>
          <w:sz w:val="32"/>
          <w:lang w:val="zh-CN"/>
        </w:rPr>
        <w:t>万及以下和</w:t>
      </w:r>
      <w:r>
        <w:rPr>
          <w:rFonts w:hint="default" w:ascii="Times New Roman" w:hAnsi="Times New Roman" w:eastAsia="Times New Roman"/>
          <w:color w:val="auto"/>
          <w:sz w:val="32"/>
          <w:lang w:val="en-US"/>
        </w:rPr>
        <w:t>8.1/10</w:t>
      </w:r>
      <w:r>
        <w:rPr>
          <w:rFonts w:hint="eastAsia" w:ascii="宋体" w:hAnsi="宋体"/>
          <w:color w:val="auto"/>
          <w:sz w:val="32"/>
          <w:lang w:val="zh-CN"/>
        </w:rPr>
        <w:t>万及以下；</w:t>
      </w:r>
      <w:r>
        <w:rPr>
          <w:rFonts w:hint="default" w:ascii="Times New Roman" w:hAnsi="Times New Roman" w:eastAsia="Times New Roman"/>
          <w:color w:val="auto"/>
          <w:sz w:val="32"/>
          <w:lang w:val="en-US"/>
        </w:rPr>
        <w:t xml:space="preserve"> 40</w:t>
      </w:r>
      <w:r>
        <w:rPr>
          <w:rFonts w:hint="eastAsia" w:ascii="宋体" w:hAnsi="宋体"/>
          <w:color w:val="auto"/>
          <w:sz w:val="32"/>
          <w:lang w:val="zh-CN"/>
        </w:rPr>
        <w:t>岁及以上居民慢阻肺知晓率分别达到</w:t>
      </w:r>
      <w:r>
        <w:rPr>
          <w:rFonts w:hint="default" w:ascii="Times New Roman" w:hAnsi="Times New Roman" w:eastAsia="Times New Roman"/>
          <w:color w:val="auto"/>
          <w:sz w:val="32"/>
          <w:lang w:val="en-US"/>
        </w:rPr>
        <w:t>15%</w:t>
      </w:r>
      <w:r>
        <w:rPr>
          <w:rFonts w:hint="eastAsia" w:ascii="宋体" w:hAnsi="宋体"/>
          <w:color w:val="auto"/>
          <w:sz w:val="32"/>
          <w:lang w:val="zh-CN"/>
        </w:rPr>
        <w:t>及以上和</w:t>
      </w:r>
      <w:r>
        <w:rPr>
          <w:rFonts w:hint="default" w:ascii="Times New Roman" w:hAnsi="Times New Roman" w:eastAsia="Times New Roman"/>
          <w:color w:val="auto"/>
          <w:sz w:val="32"/>
          <w:lang w:val="en-US"/>
        </w:rPr>
        <w:t>30%</w:t>
      </w:r>
      <w:r>
        <w:rPr>
          <w:rFonts w:hint="eastAsia" w:ascii="宋体" w:hAnsi="宋体"/>
          <w:color w:val="auto"/>
          <w:sz w:val="32"/>
          <w:lang w:val="zh-CN"/>
        </w:rPr>
        <w:t>及以上。</w:t>
      </w:r>
      <w:r>
        <w:rPr>
          <w:rFonts w:hint="default" w:ascii="Times New Roman" w:hAnsi="Times New Roman" w:eastAsia="Times New Roman"/>
          <w:color w:val="auto"/>
          <w:sz w:val="32"/>
          <w:lang w:val="en-US"/>
        </w:rPr>
        <w:t>40</w:t>
      </w:r>
      <w:r>
        <w:rPr>
          <w:rFonts w:hint="eastAsia" w:ascii="宋体" w:hAnsi="宋体"/>
          <w:color w:val="auto"/>
          <w:sz w:val="32"/>
          <w:lang w:val="zh-CN"/>
        </w:rPr>
        <w:t>岁及以上人群或慢性呼吸系统疾病高危人群每年检查肺功能</w:t>
      </w:r>
      <w:r>
        <w:rPr>
          <w:rFonts w:hint="default" w:ascii="Times New Roman" w:hAnsi="Times New Roman" w:eastAsia="Times New Roman"/>
          <w:color w:val="auto"/>
          <w:sz w:val="32"/>
          <w:lang w:val="en-US"/>
        </w:rPr>
        <w:t>1</w:t>
      </w:r>
      <w:r>
        <w:rPr>
          <w:rFonts w:hint="eastAsia" w:ascii="宋体" w:hAnsi="宋体"/>
          <w:color w:val="auto"/>
          <w:sz w:val="32"/>
          <w:lang w:val="zh-CN"/>
        </w:rPr>
        <w:t>次。</w:t>
      </w:r>
    </w:p>
    <w:p>
      <w:pPr>
        <w:spacing w:beforeLines="0" w:afterLines="0" w:line="600" w:lineRule="atLeast"/>
        <w:ind w:firstLine="643"/>
        <w:rPr>
          <w:rFonts w:hint="default" w:ascii="Times New Roman" w:hAnsi="Times New Roman" w:eastAsia="Times New Roman"/>
          <w:b/>
          <w:color w:val="auto"/>
          <w:sz w:val="32"/>
          <w:lang w:val="en-US"/>
        </w:rPr>
      </w:pPr>
      <w:r>
        <w:rPr>
          <w:rFonts w:hint="default" w:ascii="宋体" w:hAnsi="宋体"/>
          <w:b/>
          <w:color w:val="auto"/>
          <w:sz w:val="32"/>
          <w:lang w:val="zh-CN"/>
        </w:rPr>
        <w:t>——</w:t>
      </w:r>
      <w:r>
        <w:rPr>
          <w:rFonts w:hint="eastAsia" w:ascii="宋体" w:hAnsi="宋体"/>
          <w:b/>
          <w:color w:val="auto"/>
          <w:sz w:val="32"/>
          <w:lang w:val="zh-CN"/>
        </w:rPr>
        <w:t>个人：</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1.</w:t>
      </w:r>
      <w:r>
        <w:rPr>
          <w:rFonts w:hint="eastAsia" w:ascii="宋体" w:hAnsi="宋体"/>
          <w:color w:val="auto"/>
          <w:sz w:val="32"/>
          <w:lang w:val="zh-CN"/>
        </w:rPr>
        <w:t>关注疾病早期发现。呼吸困难、慢性咳嗽和（或）咳痰是慢阻肺最常见的症状，</w:t>
      </w:r>
      <w:r>
        <w:rPr>
          <w:rFonts w:hint="default" w:ascii="Times New Roman" w:hAnsi="Times New Roman" w:eastAsia="Times New Roman"/>
          <w:color w:val="auto"/>
          <w:sz w:val="32"/>
          <w:lang w:val="en-US"/>
        </w:rPr>
        <w:t xml:space="preserve">40 </w:t>
      </w:r>
      <w:r>
        <w:rPr>
          <w:rFonts w:hint="eastAsia" w:ascii="宋体" w:hAnsi="宋体"/>
          <w:color w:val="auto"/>
          <w:sz w:val="32"/>
          <w:lang w:val="zh-CN"/>
        </w:rPr>
        <w:t>岁及以上人群，长期吸烟、职业粉尘或化学物质暴露等危险因素接触者，有活动后气短或呼吸困难、慢性咳嗽咳痰、反复下呼吸道感染等症状者，建议每年进行</w:t>
      </w:r>
      <w:r>
        <w:rPr>
          <w:rFonts w:hint="default" w:ascii="Times New Roman" w:hAnsi="Times New Roman" w:eastAsia="Times New Roman"/>
          <w:color w:val="auto"/>
          <w:sz w:val="32"/>
          <w:lang w:val="en-US"/>
        </w:rPr>
        <w:t>1</w:t>
      </w:r>
      <w:r>
        <w:rPr>
          <w:rFonts w:hint="eastAsia" w:ascii="宋体" w:hAnsi="宋体"/>
          <w:color w:val="auto"/>
          <w:sz w:val="32"/>
          <w:lang w:val="zh-CN"/>
        </w:rPr>
        <w:t>次肺功能检测，确认是否已患慢阻肺。哮喘主要表现为反复发作的喘息、气急、胸闷或咳嗽，常在夜间及凌晨发作或加重，建议尽快到医院确诊。</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2.</w:t>
      </w:r>
      <w:r>
        <w:rPr>
          <w:rFonts w:hint="eastAsia" w:ascii="宋体" w:hAnsi="宋体"/>
          <w:color w:val="auto"/>
          <w:sz w:val="32"/>
          <w:lang w:val="zh-CN"/>
        </w:rPr>
        <w:t>注意危险因素防护。减少烟草暴露，吸烟者尽可能戒烟。加强职业防护，避免与有毒、有害气体及化学物质接触，减少生物燃料（木材、动物粪便、农作物残梗、煤炭等）燃烧所致的室内空气污染，避免大量油烟刺激，室外空气污染严重天气减少外出或做好戴口罩等防护措施。提倡家庭中进行湿式清扫。</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3.</w:t>
      </w:r>
      <w:r>
        <w:rPr>
          <w:rFonts w:hint="eastAsia" w:ascii="宋体" w:hAnsi="宋体"/>
          <w:color w:val="auto"/>
          <w:sz w:val="32"/>
          <w:lang w:val="zh-CN"/>
        </w:rPr>
        <w:t>注意预防感冒。感冒是慢阻肺、哮喘等慢性呼吸系统疾病急性发作的主要诱因。建议慢性呼吸系统疾病患者和老年人等高危人群主动接种流感疫苗和肺炎球菌疫苗。</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4.</w:t>
      </w:r>
      <w:r>
        <w:rPr>
          <w:rFonts w:hint="eastAsia" w:ascii="宋体" w:hAnsi="宋体"/>
          <w:color w:val="auto"/>
          <w:sz w:val="32"/>
          <w:lang w:val="zh-CN"/>
        </w:rPr>
        <w:t>加强生活方式干预。建议哮喘和慢阻肺患者注重膳食营养，多吃蔬菜、水果，进行中等量的体力活动，如太极拳、八段锦、走步等，也可以进行腹式呼吸，呼吸操等锻炼，在专业人员指导下积极参与康复治疗。建议积极了解医疗机构提供的</w:t>
      </w:r>
      <w:r>
        <w:rPr>
          <w:rFonts w:hint="default" w:ascii="宋体" w:hAnsi="宋体"/>
          <w:color w:val="auto"/>
          <w:sz w:val="32"/>
          <w:lang w:val="zh-CN"/>
        </w:rPr>
        <w:t>“</w:t>
      </w:r>
      <w:r>
        <w:rPr>
          <w:rFonts w:hint="eastAsia" w:ascii="宋体" w:hAnsi="宋体"/>
          <w:color w:val="auto"/>
          <w:sz w:val="32"/>
          <w:lang w:val="zh-CN"/>
        </w:rPr>
        <w:t>三伏贴</w:t>
      </w:r>
      <w:r>
        <w:rPr>
          <w:rFonts w:hint="default" w:ascii="宋体" w:hAnsi="宋体"/>
          <w:color w:val="auto"/>
          <w:sz w:val="32"/>
          <w:lang w:val="zh-CN"/>
        </w:rPr>
        <w:t>”</w:t>
      </w:r>
      <w:r>
        <w:rPr>
          <w:rFonts w:hint="eastAsia" w:ascii="宋体" w:hAnsi="宋体"/>
          <w:color w:val="auto"/>
          <w:sz w:val="32"/>
          <w:lang w:val="zh-CN"/>
        </w:rPr>
        <w:t>等中医药特色服务。</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5.</w:t>
      </w:r>
      <w:r>
        <w:rPr>
          <w:rFonts w:hint="eastAsia" w:ascii="宋体" w:hAnsi="宋体"/>
          <w:color w:val="auto"/>
          <w:sz w:val="32"/>
          <w:lang w:val="zh-CN"/>
        </w:rPr>
        <w:t>哮喘患者避免接触过敏原和各种诱发因素。宠物毛发、皮屑是哮喘发病和病情加重的危险因素，建议有哮喘患者的家庭尽量避免饲养宠物。母乳喂养可降低婴幼儿哮喘发病风险。</w:t>
      </w:r>
    </w:p>
    <w:p>
      <w:pPr>
        <w:spacing w:beforeLines="0" w:afterLines="0" w:line="600" w:lineRule="atLeast"/>
        <w:ind w:firstLine="643"/>
        <w:rPr>
          <w:rFonts w:hint="default" w:ascii="Times New Roman" w:hAnsi="Times New Roman" w:eastAsia="Times New Roman"/>
          <w:b/>
          <w:color w:val="auto"/>
          <w:sz w:val="32"/>
          <w:lang w:val="en-US"/>
        </w:rPr>
      </w:pPr>
      <w:r>
        <w:rPr>
          <w:rFonts w:hint="default" w:ascii="宋体" w:hAnsi="宋体"/>
          <w:b/>
          <w:color w:val="auto"/>
          <w:sz w:val="32"/>
          <w:lang w:val="zh-CN"/>
        </w:rPr>
        <w:t>——</w:t>
      </w:r>
      <w:r>
        <w:rPr>
          <w:rFonts w:hint="eastAsia" w:ascii="宋体" w:hAnsi="宋体"/>
          <w:b/>
          <w:color w:val="auto"/>
          <w:sz w:val="32"/>
          <w:lang w:val="zh-CN"/>
        </w:rPr>
        <w:t>社会和政府：</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1.</w:t>
      </w:r>
      <w:r>
        <w:rPr>
          <w:rFonts w:hint="eastAsia" w:ascii="宋体" w:hAnsi="宋体"/>
          <w:color w:val="auto"/>
          <w:sz w:val="32"/>
          <w:lang w:val="zh-CN"/>
        </w:rPr>
        <w:t>将肺功能检查纳入</w:t>
      </w:r>
      <w:r>
        <w:rPr>
          <w:rFonts w:hint="default" w:ascii="Times New Roman" w:hAnsi="Times New Roman" w:eastAsia="Times New Roman"/>
          <w:color w:val="auto"/>
          <w:sz w:val="32"/>
          <w:lang w:val="en-US"/>
        </w:rPr>
        <w:t>40</w:t>
      </w:r>
      <w:r>
        <w:rPr>
          <w:rFonts w:hint="eastAsia" w:ascii="宋体" w:hAnsi="宋体"/>
          <w:color w:val="auto"/>
          <w:sz w:val="32"/>
          <w:lang w:val="zh-CN"/>
        </w:rPr>
        <w:t>岁及以上人群常规体检内容。推行高危人群首诊测量肺功能，发现疑似慢阻肺患者及时提供转诊服务。推动各地为社区卫生服务中心和乡镇卫生院配备肺功能检查仪等设备，做好基层专业人员培训。（卫生健康委牵头，发展改革委、财政部按职责分工负责）</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2.</w:t>
      </w:r>
      <w:r>
        <w:rPr>
          <w:rFonts w:hint="eastAsia" w:ascii="宋体" w:hAnsi="宋体"/>
          <w:color w:val="auto"/>
          <w:sz w:val="32"/>
          <w:lang w:val="zh-CN"/>
        </w:rPr>
        <w:t>研究将慢阻肺患者健康管理纳入国家基本公共卫生服务项目，落实分级诊疗制度，为慢阻肺高危人群和患者提供筛查干预、诊断、治疗、随访管理、功能康复等全程防治管理服务，提高基层慢阻肺的早诊早治率和规范化管理率。（卫生健康委牵头，财政部按职责负责）</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3.</w:t>
      </w:r>
      <w:r>
        <w:rPr>
          <w:rFonts w:hint="eastAsia" w:ascii="宋体" w:hAnsi="宋体"/>
          <w:color w:val="auto"/>
          <w:sz w:val="32"/>
          <w:lang w:val="zh-CN"/>
        </w:rPr>
        <w:t>着力提升基层慢性呼吸系统疾病防治能力和水平，加强基层医疗机构相关诊治设备（雾化吸入设施、氧疗设备、无创呼吸机等）和长期治疗管理用药的配备。（卫生健康委牵头，发展改革委、财政部按职责分工负责）</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 xml:space="preserve">4. </w:t>
      </w:r>
      <w:r>
        <w:rPr>
          <w:rFonts w:hint="eastAsia" w:ascii="宋体" w:hAnsi="宋体"/>
          <w:color w:val="auto"/>
          <w:sz w:val="32"/>
          <w:lang w:val="zh-CN"/>
        </w:rPr>
        <w:t>加强科技攻关和成果转化，运用临床综合评价、鼓励相关企业部门研发等措施，提高新型疫苗、诊断技术、治疗药物的可及性，降低患者经济负担。（科技部、卫生健康委、医保局按职责分工负责）</w:t>
      </w:r>
    </w:p>
    <w:p>
      <w:pPr>
        <w:spacing w:beforeLines="0" w:afterLines="0" w:line="600" w:lineRule="atLeast"/>
        <w:ind w:firstLine="643"/>
        <w:rPr>
          <w:rFonts w:hint="default" w:ascii="Times New Roman" w:hAnsi="Times New Roman" w:eastAsia="Times New Roman"/>
          <w:b/>
          <w:color w:val="auto"/>
          <w:sz w:val="32"/>
          <w:lang w:val="en-US"/>
        </w:rPr>
      </w:pPr>
      <w:r>
        <w:rPr>
          <w:rFonts w:hint="eastAsia" w:ascii="宋体" w:hAnsi="宋体"/>
          <w:b/>
          <w:color w:val="auto"/>
          <w:sz w:val="32"/>
          <w:lang w:val="zh-CN"/>
        </w:rPr>
        <w:t>（十四）糖尿病防治行动。</w:t>
      </w:r>
    </w:p>
    <w:p>
      <w:pPr>
        <w:spacing w:beforeLines="0" w:afterLines="0" w:line="600" w:lineRule="atLeast"/>
        <w:ind w:firstLine="640"/>
        <w:rPr>
          <w:rFonts w:hint="default" w:ascii="Times New Roman" w:hAnsi="Times New Roman" w:eastAsia="Times New Roman"/>
          <w:color w:val="auto"/>
          <w:sz w:val="32"/>
          <w:lang w:val="en-US"/>
        </w:rPr>
      </w:pPr>
      <w:r>
        <w:rPr>
          <w:rFonts w:hint="eastAsia" w:ascii="宋体" w:hAnsi="宋体"/>
          <w:color w:val="auto"/>
          <w:sz w:val="32"/>
          <w:lang w:val="zh-CN"/>
        </w:rPr>
        <w:t>糖尿病是一种常见的内分泌代谢疾病。我国</w:t>
      </w:r>
      <w:r>
        <w:rPr>
          <w:rFonts w:hint="default" w:ascii="Times New Roman" w:hAnsi="Times New Roman" w:eastAsia="Times New Roman"/>
          <w:color w:val="auto"/>
          <w:sz w:val="32"/>
          <w:lang w:val="en-US"/>
        </w:rPr>
        <w:t>18</w:t>
      </w:r>
      <w:r>
        <w:rPr>
          <w:rFonts w:hint="eastAsia" w:ascii="宋体" w:hAnsi="宋体"/>
          <w:color w:val="auto"/>
          <w:sz w:val="32"/>
          <w:lang w:val="zh-CN"/>
        </w:rPr>
        <w:t>岁以上人群糖尿病患病率从</w:t>
      </w:r>
      <w:r>
        <w:rPr>
          <w:rFonts w:hint="default" w:ascii="Times New Roman" w:hAnsi="Times New Roman" w:eastAsia="Times New Roman"/>
          <w:color w:val="auto"/>
          <w:sz w:val="32"/>
          <w:lang w:val="en-US"/>
        </w:rPr>
        <w:t>2002</w:t>
      </w:r>
      <w:r>
        <w:rPr>
          <w:rFonts w:hint="eastAsia" w:ascii="宋体" w:hAnsi="宋体"/>
          <w:color w:val="auto"/>
          <w:sz w:val="32"/>
          <w:lang w:val="zh-CN"/>
        </w:rPr>
        <w:t>年的</w:t>
      </w:r>
      <w:r>
        <w:rPr>
          <w:rFonts w:hint="default" w:ascii="Times New Roman" w:hAnsi="Times New Roman" w:eastAsia="Times New Roman"/>
          <w:color w:val="auto"/>
          <w:sz w:val="32"/>
          <w:lang w:val="en-US"/>
        </w:rPr>
        <w:t>4.2%</w:t>
      </w:r>
      <w:r>
        <w:rPr>
          <w:rFonts w:hint="eastAsia" w:ascii="宋体" w:hAnsi="宋体"/>
          <w:color w:val="auto"/>
          <w:sz w:val="32"/>
          <w:lang w:val="zh-CN"/>
        </w:rPr>
        <w:t>迅速上升至</w:t>
      </w:r>
      <w:r>
        <w:rPr>
          <w:rFonts w:hint="default" w:ascii="Times New Roman" w:hAnsi="Times New Roman" w:eastAsia="Times New Roman"/>
          <w:color w:val="auto"/>
          <w:sz w:val="32"/>
          <w:lang w:val="en-US"/>
        </w:rPr>
        <w:t xml:space="preserve"> 2012</w:t>
      </w:r>
      <w:r>
        <w:rPr>
          <w:rFonts w:hint="eastAsia" w:ascii="宋体" w:hAnsi="宋体"/>
          <w:color w:val="auto"/>
          <w:sz w:val="32"/>
          <w:lang w:val="zh-CN"/>
        </w:rPr>
        <w:t>年的</w:t>
      </w:r>
      <w:r>
        <w:rPr>
          <w:rFonts w:hint="default" w:ascii="Times New Roman" w:hAnsi="Times New Roman" w:eastAsia="Times New Roman"/>
          <w:color w:val="auto"/>
          <w:sz w:val="32"/>
          <w:lang w:val="en-US"/>
        </w:rPr>
        <w:t>9.7%</w:t>
      </w:r>
      <w:r>
        <w:rPr>
          <w:rFonts w:hint="eastAsia" w:ascii="宋体" w:hAnsi="宋体"/>
          <w:color w:val="auto"/>
          <w:sz w:val="32"/>
          <w:lang w:val="zh-CN"/>
        </w:rPr>
        <w:t>，据估算，目前我国糖尿病患者超过</w:t>
      </w:r>
      <w:r>
        <w:rPr>
          <w:rFonts w:hint="default" w:ascii="Times New Roman" w:hAnsi="Times New Roman" w:eastAsia="Times New Roman"/>
          <w:color w:val="auto"/>
          <w:sz w:val="32"/>
          <w:lang w:val="en-US"/>
        </w:rPr>
        <w:t>9700</w:t>
      </w:r>
      <w:r>
        <w:rPr>
          <w:rFonts w:hint="eastAsia" w:ascii="宋体" w:hAnsi="宋体"/>
          <w:color w:val="auto"/>
          <w:sz w:val="32"/>
          <w:lang w:val="zh-CN"/>
        </w:rPr>
        <w:t>万，糖尿病前期人群约</w:t>
      </w:r>
      <w:r>
        <w:rPr>
          <w:rFonts w:hint="default" w:ascii="Times New Roman" w:hAnsi="Times New Roman" w:eastAsia="Times New Roman"/>
          <w:color w:val="auto"/>
          <w:sz w:val="32"/>
          <w:lang w:val="en-US"/>
        </w:rPr>
        <w:t>1.5</w:t>
      </w:r>
      <w:r>
        <w:rPr>
          <w:rFonts w:hint="eastAsia" w:ascii="宋体" w:hAnsi="宋体"/>
          <w:color w:val="auto"/>
          <w:sz w:val="32"/>
          <w:lang w:val="zh-CN"/>
        </w:rPr>
        <w:t>亿。糖尿病并发症累及血管、眼、肾、足等多个器官，致残、致死率高，严重影响患者健康，给个人、家庭和社会带来沉重的负担。</w:t>
      </w:r>
      <w:r>
        <w:rPr>
          <w:rFonts w:hint="default" w:ascii="Times New Roman" w:hAnsi="Times New Roman" w:eastAsia="Times New Roman"/>
          <w:color w:val="auto"/>
          <w:sz w:val="32"/>
          <w:lang w:val="en-US"/>
        </w:rPr>
        <w:t>2</w:t>
      </w:r>
      <w:r>
        <w:rPr>
          <w:rFonts w:hint="eastAsia" w:ascii="宋体" w:hAnsi="宋体"/>
          <w:color w:val="auto"/>
          <w:sz w:val="32"/>
          <w:lang w:val="zh-CN"/>
        </w:rPr>
        <w:t>型糖尿病是我国最常见的糖尿病类型。肥胖是</w:t>
      </w:r>
      <w:r>
        <w:rPr>
          <w:rFonts w:hint="default" w:ascii="Times New Roman" w:hAnsi="Times New Roman" w:eastAsia="Times New Roman"/>
          <w:color w:val="auto"/>
          <w:sz w:val="32"/>
          <w:lang w:val="en-US"/>
        </w:rPr>
        <w:t>2</w:t>
      </w:r>
      <w:r>
        <w:rPr>
          <w:rFonts w:hint="eastAsia" w:ascii="宋体" w:hAnsi="宋体"/>
          <w:color w:val="auto"/>
          <w:sz w:val="32"/>
          <w:lang w:val="zh-CN"/>
        </w:rPr>
        <w:t>型糖尿病的重要危险因素，糖尿病前期人群接受适当的生活方式干预可延迟或预防糖尿病的发生。</w:t>
      </w:r>
    </w:p>
    <w:p>
      <w:pPr>
        <w:spacing w:beforeLines="0" w:afterLines="0" w:line="600" w:lineRule="atLeast"/>
        <w:ind w:firstLine="640"/>
        <w:rPr>
          <w:rFonts w:hint="default" w:ascii="Times New Roman" w:hAnsi="Times New Roman" w:eastAsia="Times New Roman"/>
          <w:color w:val="auto"/>
          <w:sz w:val="32"/>
          <w:lang w:val="en-US"/>
        </w:rPr>
      </w:pPr>
      <w:r>
        <w:rPr>
          <w:rFonts w:hint="eastAsia" w:ascii="宋体" w:hAnsi="宋体"/>
          <w:color w:val="auto"/>
          <w:sz w:val="32"/>
          <w:lang w:val="zh-CN"/>
        </w:rPr>
        <w:t>行动目标：</w:t>
      </w:r>
    </w:p>
    <w:p>
      <w:pPr>
        <w:spacing w:beforeLines="0" w:afterLines="0" w:line="600" w:lineRule="atLeast"/>
        <w:ind w:firstLine="640"/>
        <w:rPr>
          <w:rFonts w:hint="default" w:ascii="Times New Roman" w:hAnsi="Times New Roman" w:eastAsia="Times New Roman"/>
          <w:color w:val="auto"/>
          <w:sz w:val="32"/>
          <w:lang w:val="en-US"/>
        </w:rPr>
      </w:pPr>
      <w:r>
        <w:rPr>
          <w:rFonts w:hint="eastAsia" w:ascii="宋体" w:hAnsi="宋体"/>
          <w:color w:val="auto"/>
          <w:sz w:val="32"/>
          <w:lang w:val="zh-CN"/>
        </w:rPr>
        <w:t>到</w:t>
      </w:r>
      <w:r>
        <w:rPr>
          <w:rFonts w:hint="default" w:ascii="Times New Roman" w:hAnsi="Times New Roman" w:eastAsia="Times New Roman"/>
          <w:color w:val="auto"/>
          <w:sz w:val="32"/>
          <w:lang w:val="en-US"/>
        </w:rPr>
        <w:t>2022</w:t>
      </w:r>
      <w:r>
        <w:rPr>
          <w:rFonts w:hint="eastAsia" w:ascii="宋体" w:hAnsi="宋体"/>
          <w:color w:val="auto"/>
          <w:sz w:val="32"/>
          <w:lang w:val="zh-CN"/>
        </w:rPr>
        <w:t>年和</w:t>
      </w:r>
      <w:r>
        <w:rPr>
          <w:rFonts w:hint="default" w:ascii="Times New Roman" w:hAnsi="Times New Roman" w:eastAsia="Times New Roman"/>
          <w:color w:val="auto"/>
          <w:sz w:val="32"/>
          <w:lang w:val="en-US"/>
        </w:rPr>
        <w:t>2030</w:t>
      </w:r>
      <w:r>
        <w:rPr>
          <w:rFonts w:hint="eastAsia" w:ascii="宋体" w:hAnsi="宋体"/>
          <w:color w:val="auto"/>
          <w:sz w:val="32"/>
          <w:lang w:val="zh-CN"/>
        </w:rPr>
        <w:t>年，</w:t>
      </w:r>
      <w:r>
        <w:rPr>
          <w:rFonts w:hint="default" w:ascii="Times New Roman" w:hAnsi="Times New Roman" w:eastAsia="Times New Roman"/>
          <w:color w:val="auto"/>
          <w:sz w:val="32"/>
          <w:lang w:val="en-US"/>
        </w:rPr>
        <w:t>18</w:t>
      </w:r>
      <w:r>
        <w:rPr>
          <w:rFonts w:hint="eastAsia" w:ascii="宋体" w:hAnsi="宋体"/>
          <w:color w:val="auto"/>
          <w:sz w:val="32"/>
          <w:lang w:val="zh-CN"/>
        </w:rPr>
        <w:t>岁及以上居民糖尿病知晓率分别达到</w:t>
      </w:r>
      <w:r>
        <w:rPr>
          <w:rFonts w:hint="default" w:ascii="Times New Roman" w:hAnsi="Times New Roman" w:eastAsia="Times New Roman"/>
          <w:color w:val="auto"/>
          <w:sz w:val="32"/>
          <w:lang w:val="en-US"/>
        </w:rPr>
        <w:t>50%</w:t>
      </w:r>
      <w:r>
        <w:rPr>
          <w:rFonts w:hint="eastAsia" w:ascii="宋体" w:hAnsi="宋体"/>
          <w:color w:val="auto"/>
          <w:sz w:val="32"/>
          <w:lang w:val="zh-CN"/>
        </w:rPr>
        <w:t>及以上和</w:t>
      </w:r>
      <w:r>
        <w:rPr>
          <w:rFonts w:hint="default" w:ascii="Times New Roman" w:hAnsi="Times New Roman" w:eastAsia="Times New Roman"/>
          <w:color w:val="auto"/>
          <w:sz w:val="32"/>
          <w:lang w:val="en-US"/>
        </w:rPr>
        <w:t>60%</w:t>
      </w:r>
      <w:r>
        <w:rPr>
          <w:rFonts w:hint="eastAsia" w:ascii="宋体" w:hAnsi="宋体"/>
          <w:color w:val="auto"/>
          <w:sz w:val="32"/>
          <w:lang w:val="zh-CN"/>
        </w:rPr>
        <w:t>及以上；糖尿病患者规范管理率分别达到</w:t>
      </w:r>
      <w:r>
        <w:rPr>
          <w:rFonts w:hint="default" w:ascii="Times New Roman" w:hAnsi="Times New Roman" w:eastAsia="Times New Roman"/>
          <w:color w:val="auto"/>
          <w:sz w:val="32"/>
          <w:lang w:val="en-US"/>
        </w:rPr>
        <w:t>60%</w:t>
      </w:r>
      <w:r>
        <w:rPr>
          <w:rFonts w:hint="eastAsia" w:ascii="宋体" w:hAnsi="宋体"/>
          <w:color w:val="auto"/>
          <w:sz w:val="32"/>
          <w:lang w:val="zh-CN"/>
        </w:rPr>
        <w:t>及以上和</w:t>
      </w:r>
      <w:r>
        <w:rPr>
          <w:rFonts w:hint="default" w:ascii="Times New Roman" w:hAnsi="Times New Roman" w:eastAsia="Times New Roman"/>
          <w:color w:val="auto"/>
          <w:sz w:val="32"/>
          <w:lang w:val="en-US"/>
        </w:rPr>
        <w:t>70%</w:t>
      </w:r>
      <w:r>
        <w:rPr>
          <w:rFonts w:hint="eastAsia" w:ascii="宋体" w:hAnsi="宋体"/>
          <w:color w:val="auto"/>
          <w:sz w:val="32"/>
          <w:lang w:val="zh-CN"/>
        </w:rPr>
        <w:t>及以上；糖尿病治疗率、糖尿病控制率、糖尿病并发症筛查率持续提高。</w:t>
      </w:r>
    </w:p>
    <w:p>
      <w:pPr>
        <w:spacing w:beforeLines="0" w:afterLines="0" w:line="600" w:lineRule="atLeast"/>
        <w:ind w:firstLine="640"/>
        <w:rPr>
          <w:rFonts w:hint="default" w:ascii="Times New Roman" w:hAnsi="Times New Roman" w:eastAsia="Times New Roman"/>
          <w:color w:val="auto"/>
          <w:sz w:val="32"/>
          <w:lang w:val="en-US"/>
        </w:rPr>
      </w:pPr>
      <w:r>
        <w:rPr>
          <w:rFonts w:hint="eastAsia" w:ascii="宋体" w:hAnsi="宋体"/>
          <w:color w:val="auto"/>
          <w:sz w:val="32"/>
          <w:lang w:val="zh-CN"/>
        </w:rPr>
        <w:t>提倡</w:t>
      </w:r>
      <w:r>
        <w:rPr>
          <w:rFonts w:hint="default" w:ascii="Times New Roman" w:hAnsi="Times New Roman" w:eastAsia="Times New Roman"/>
          <w:color w:val="auto"/>
          <w:sz w:val="32"/>
          <w:lang w:val="en-US"/>
        </w:rPr>
        <w:t>40</w:t>
      </w:r>
      <w:r>
        <w:rPr>
          <w:rFonts w:hint="eastAsia" w:ascii="宋体" w:hAnsi="宋体"/>
          <w:color w:val="auto"/>
          <w:sz w:val="32"/>
          <w:lang w:val="zh-CN"/>
        </w:rPr>
        <w:t>岁及以上人群每年至少检测</w:t>
      </w:r>
      <w:r>
        <w:rPr>
          <w:rFonts w:hint="default" w:ascii="Times New Roman" w:hAnsi="Times New Roman" w:eastAsia="Times New Roman"/>
          <w:color w:val="auto"/>
          <w:sz w:val="32"/>
          <w:lang w:val="en-US"/>
        </w:rPr>
        <w:t>1</w:t>
      </w:r>
      <w:r>
        <w:rPr>
          <w:rFonts w:hint="eastAsia" w:ascii="宋体" w:hAnsi="宋体"/>
          <w:color w:val="auto"/>
          <w:sz w:val="32"/>
          <w:lang w:val="zh-CN"/>
        </w:rPr>
        <w:t>次空腹血糖，糖尿病前期人群每</w:t>
      </w:r>
      <w:r>
        <w:rPr>
          <w:rFonts w:hint="default" w:ascii="Times New Roman" w:hAnsi="Times New Roman" w:eastAsia="Times New Roman"/>
          <w:color w:val="auto"/>
          <w:sz w:val="32"/>
          <w:lang w:val="en-US"/>
        </w:rPr>
        <w:t>6</w:t>
      </w:r>
      <w:r>
        <w:rPr>
          <w:rFonts w:hint="eastAsia" w:ascii="宋体" w:hAnsi="宋体"/>
          <w:color w:val="auto"/>
          <w:sz w:val="32"/>
          <w:lang w:val="zh-CN"/>
        </w:rPr>
        <w:t>个月检测</w:t>
      </w:r>
      <w:r>
        <w:rPr>
          <w:rFonts w:hint="default" w:ascii="Times New Roman" w:hAnsi="Times New Roman" w:eastAsia="Times New Roman"/>
          <w:color w:val="auto"/>
          <w:sz w:val="32"/>
          <w:lang w:val="en-US"/>
        </w:rPr>
        <w:t>1</w:t>
      </w:r>
      <w:r>
        <w:rPr>
          <w:rFonts w:hint="eastAsia" w:ascii="宋体" w:hAnsi="宋体"/>
          <w:color w:val="auto"/>
          <w:sz w:val="32"/>
          <w:lang w:val="zh-CN"/>
        </w:rPr>
        <w:t>次空腹或餐后</w:t>
      </w:r>
      <w:r>
        <w:rPr>
          <w:rFonts w:hint="default" w:ascii="Times New Roman" w:hAnsi="Times New Roman" w:eastAsia="Times New Roman"/>
          <w:color w:val="auto"/>
          <w:sz w:val="32"/>
          <w:lang w:val="en-US"/>
        </w:rPr>
        <w:t>2</w:t>
      </w:r>
      <w:r>
        <w:rPr>
          <w:rFonts w:hint="eastAsia" w:ascii="宋体" w:hAnsi="宋体"/>
          <w:color w:val="auto"/>
          <w:sz w:val="32"/>
          <w:lang w:val="zh-CN"/>
        </w:rPr>
        <w:t>小时血糖。</w:t>
      </w:r>
    </w:p>
    <w:p>
      <w:pPr>
        <w:spacing w:beforeLines="0" w:afterLines="0" w:line="600" w:lineRule="atLeast"/>
        <w:ind w:firstLine="643"/>
        <w:rPr>
          <w:rFonts w:hint="default" w:ascii="Times New Roman" w:hAnsi="Times New Roman" w:eastAsia="Times New Roman"/>
          <w:b/>
          <w:color w:val="auto"/>
          <w:sz w:val="32"/>
          <w:lang w:val="en-US"/>
        </w:rPr>
      </w:pPr>
      <w:r>
        <w:rPr>
          <w:rFonts w:hint="default" w:ascii="宋体" w:hAnsi="宋体"/>
          <w:b/>
          <w:color w:val="auto"/>
          <w:sz w:val="32"/>
          <w:lang w:val="zh-CN"/>
        </w:rPr>
        <w:t>——</w:t>
      </w:r>
      <w:r>
        <w:rPr>
          <w:rFonts w:hint="eastAsia" w:ascii="宋体" w:hAnsi="宋体"/>
          <w:b/>
          <w:color w:val="auto"/>
          <w:sz w:val="32"/>
          <w:lang w:val="zh-CN"/>
        </w:rPr>
        <w:t>个人：</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1.</w:t>
      </w:r>
      <w:r>
        <w:rPr>
          <w:rFonts w:hint="eastAsia" w:ascii="宋体" w:hAnsi="宋体"/>
          <w:color w:val="auto"/>
          <w:sz w:val="32"/>
          <w:lang w:val="zh-CN"/>
        </w:rPr>
        <w:t>全面了解糖尿病知识，关注个人血糖水平。健康人</w:t>
      </w:r>
      <w:r>
        <w:rPr>
          <w:rFonts w:hint="default" w:ascii="Times New Roman" w:hAnsi="Times New Roman" w:eastAsia="Times New Roman"/>
          <w:color w:val="auto"/>
          <w:sz w:val="32"/>
          <w:lang w:val="en-US"/>
        </w:rPr>
        <w:t>40</w:t>
      </w:r>
      <w:r>
        <w:rPr>
          <w:rFonts w:hint="eastAsia" w:ascii="宋体" w:hAnsi="宋体"/>
          <w:color w:val="auto"/>
          <w:sz w:val="32"/>
          <w:lang w:val="zh-CN"/>
        </w:rPr>
        <w:t>岁开始每年检测</w:t>
      </w:r>
      <w:r>
        <w:rPr>
          <w:rFonts w:hint="default" w:ascii="Times New Roman" w:hAnsi="Times New Roman" w:eastAsia="Times New Roman"/>
          <w:color w:val="auto"/>
          <w:sz w:val="32"/>
          <w:lang w:val="en-US"/>
        </w:rPr>
        <w:t>1</w:t>
      </w:r>
      <w:r>
        <w:rPr>
          <w:rFonts w:hint="eastAsia" w:ascii="宋体" w:hAnsi="宋体"/>
          <w:color w:val="auto"/>
          <w:sz w:val="32"/>
          <w:lang w:val="zh-CN"/>
        </w:rPr>
        <w:t>次空腹血糖。具备以下因素之一，即为糖尿病高危人群：超重与肥胖、高血压、血脂异常、糖尿病家族史、妊娠糖尿病史、巨大儿（出生体重≥</w:t>
      </w:r>
      <w:r>
        <w:rPr>
          <w:rFonts w:hint="default" w:ascii="Times New Roman" w:hAnsi="Times New Roman" w:eastAsia="Times New Roman"/>
          <w:color w:val="auto"/>
          <w:sz w:val="32"/>
          <w:lang w:val="en-US"/>
        </w:rPr>
        <w:t>4kg</w:t>
      </w:r>
      <w:r>
        <w:rPr>
          <w:rFonts w:hint="eastAsia" w:ascii="宋体" w:hAnsi="宋体"/>
          <w:color w:val="auto"/>
          <w:sz w:val="32"/>
          <w:lang w:val="zh-CN"/>
        </w:rPr>
        <w:t>）生育史。</w:t>
      </w:r>
      <w:r>
        <w:rPr>
          <w:rFonts w:hint="default" w:ascii="Times New Roman" w:hAnsi="Times New Roman" w:eastAsia="Times New Roman"/>
          <w:color w:val="auto"/>
          <w:sz w:val="32"/>
          <w:lang w:val="en-US"/>
        </w:rPr>
        <w:t>6.1mmol/L</w:t>
      </w:r>
      <w:r>
        <w:rPr>
          <w:rFonts w:hint="eastAsia" w:ascii="宋体" w:hAnsi="宋体"/>
          <w:color w:val="auto"/>
          <w:sz w:val="32"/>
          <w:lang w:val="zh-CN"/>
        </w:rPr>
        <w:t>≤空腹血糖（</w:t>
      </w:r>
      <w:r>
        <w:rPr>
          <w:rFonts w:hint="default" w:ascii="Times New Roman" w:hAnsi="Times New Roman" w:eastAsia="Times New Roman"/>
          <w:color w:val="auto"/>
          <w:sz w:val="32"/>
          <w:lang w:val="en-US"/>
        </w:rPr>
        <w:t>FBG</w:t>
      </w:r>
      <w:r>
        <w:rPr>
          <w:rFonts w:hint="eastAsia" w:ascii="宋体" w:hAnsi="宋体"/>
          <w:color w:val="auto"/>
          <w:sz w:val="32"/>
          <w:lang w:val="zh-CN"/>
        </w:rPr>
        <w:t>）＜</w:t>
      </w:r>
      <w:r>
        <w:rPr>
          <w:rFonts w:hint="default" w:ascii="Times New Roman" w:hAnsi="Times New Roman" w:eastAsia="Times New Roman"/>
          <w:color w:val="auto"/>
          <w:sz w:val="32"/>
          <w:lang w:val="en-US"/>
        </w:rPr>
        <w:t>7.0mmol/L</w:t>
      </w:r>
      <w:r>
        <w:rPr>
          <w:rFonts w:hint="eastAsia" w:ascii="宋体" w:hAnsi="宋体"/>
          <w:color w:val="auto"/>
          <w:sz w:val="32"/>
          <w:lang w:val="zh-CN"/>
        </w:rPr>
        <w:t>，或</w:t>
      </w:r>
      <w:r>
        <w:rPr>
          <w:rFonts w:hint="default" w:ascii="Times New Roman" w:hAnsi="Times New Roman" w:eastAsia="Times New Roman"/>
          <w:color w:val="auto"/>
          <w:sz w:val="32"/>
          <w:lang w:val="en-US"/>
        </w:rPr>
        <w:t>7.8mmol/L</w:t>
      </w:r>
      <w:r>
        <w:rPr>
          <w:rFonts w:hint="eastAsia" w:ascii="宋体" w:hAnsi="宋体"/>
          <w:color w:val="auto"/>
          <w:sz w:val="32"/>
          <w:lang w:val="zh-CN"/>
        </w:rPr>
        <w:t>≤糖负荷</w:t>
      </w:r>
      <w:r>
        <w:rPr>
          <w:rFonts w:hint="default" w:ascii="Times New Roman" w:hAnsi="Times New Roman" w:eastAsia="Times New Roman"/>
          <w:color w:val="auto"/>
          <w:sz w:val="32"/>
          <w:lang w:val="en-US"/>
        </w:rPr>
        <w:t>2</w:t>
      </w:r>
      <w:r>
        <w:rPr>
          <w:rFonts w:hint="eastAsia" w:ascii="宋体" w:hAnsi="宋体"/>
          <w:color w:val="auto"/>
          <w:sz w:val="32"/>
          <w:lang w:val="zh-CN"/>
        </w:rPr>
        <w:t>小时血糖（</w:t>
      </w:r>
      <w:r>
        <w:rPr>
          <w:rFonts w:hint="default" w:ascii="Times New Roman" w:hAnsi="Times New Roman" w:eastAsia="Times New Roman"/>
          <w:color w:val="auto"/>
          <w:sz w:val="32"/>
          <w:lang w:val="en-US"/>
        </w:rPr>
        <w:t>2hPG</w:t>
      </w:r>
      <w:r>
        <w:rPr>
          <w:rFonts w:hint="eastAsia" w:ascii="宋体" w:hAnsi="宋体"/>
          <w:color w:val="auto"/>
          <w:sz w:val="32"/>
          <w:lang w:val="zh-CN"/>
        </w:rPr>
        <w:t>）＜</w:t>
      </w:r>
      <w:r>
        <w:rPr>
          <w:rFonts w:hint="default" w:ascii="Times New Roman" w:hAnsi="Times New Roman" w:eastAsia="Times New Roman"/>
          <w:color w:val="auto"/>
          <w:sz w:val="32"/>
          <w:lang w:val="en-US"/>
        </w:rPr>
        <w:t>11.1mmol/L</w:t>
      </w:r>
      <w:r>
        <w:rPr>
          <w:rFonts w:hint="eastAsia" w:ascii="宋体" w:hAnsi="宋体"/>
          <w:color w:val="auto"/>
          <w:sz w:val="32"/>
          <w:lang w:val="zh-CN"/>
        </w:rPr>
        <w:t>，则为糖调节受损，也称糖尿病前期，属于糖尿病的极高危人群。 </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2.</w:t>
      </w:r>
      <w:r>
        <w:rPr>
          <w:rFonts w:hint="eastAsia" w:ascii="宋体" w:hAnsi="宋体"/>
          <w:color w:val="auto"/>
          <w:sz w:val="32"/>
          <w:lang w:val="zh-CN"/>
        </w:rPr>
        <w:t>糖尿病前期人群可通过饮食控制和科学运动降低发病风险，建议每半年检测</w:t>
      </w:r>
      <w:r>
        <w:rPr>
          <w:rFonts w:hint="default" w:ascii="Times New Roman" w:hAnsi="Times New Roman" w:eastAsia="Times New Roman"/>
          <w:color w:val="auto"/>
          <w:sz w:val="32"/>
          <w:lang w:val="en-US"/>
        </w:rPr>
        <w:t>1</w:t>
      </w:r>
      <w:r>
        <w:rPr>
          <w:rFonts w:hint="eastAsia" w:ascii="宋体" w:hAnsi="宋体"/>
          <w:color w:val="auto"/>
          <w:sz w:val="32"/>
          <w:lang w:val="zh-CN"/>
        </w:rPr>
        <w:t>次空腹血糖或餐后</w:t>
      </w:r>
      <w:r>
        <w:rPr>
          <w:rFonts w:hint="default" w:ascii="Times New Roman" w:hAnsi="Times New Roman" w:eastAsia="Times New Roman"/>
          <w:color w:val="auto"/>
          <w:sz w:val="32"/>
          <w:lang w:val="en-US"/>
        </w:rPr>
        <w:t>2</w:t>
      </w:r>
      <w:r>
        <w:rPr>
          <w:rFonts w:hint="eastAsia" w:ascii="宋体" w:hAnsi="宋体"/>
          <w:color w:val="auto"/>
          <w:sz w:val="32"/>
          <w:lang w:val="zh-CN"/>
        </w:rPr>
        <w:t>小时血糖。同时密切关注其他心脑血管危险因素，并给予适当的干预措施。建议超重或肥胖者使体重指数（</w:t>
      </w:r>
      <w:r>
        <w:rPr>
          <w:rFonts w:hint="default" w:ascii="Times New Roman" w:hAnsi="Times New Roman" w:eastAsia="Times New Roman"/>
          <w:color w:val="auto"/>
          <w:sz w:val="32"/>
          <w:lang w:val="en-US"/>
        </w:rPr>
        <w:t>BMI</w:t>
      </w:r>
      <w:r>
        <w:rPr>
          <w:rFonts w:hint="eastAsia" w:ascii="宋体" w:hAnsi="宋体"/>
          <w:color w:val="auto"/>
          <w:sz w:val="32"/>
          <w:lang w:val="zh-CN"/>
        </w:rPr>
        <w:t>）达到或接近</w:t>
      </w:r>
      <w:r>
        <w:rPr>
          <w:rFonts w:hint="default" w:ascii="Times New Roman" w:hAnsi="Times New Roman" w:eastAsia="Times New Roman"/>
          <w:color w:val="auto"/>
          <w:sz w:val="32"/>
          <w:lang w:val="en-US"/>
        </w:rPr>
        <w:t>24kg/</w:t>
      </w:r>
      <w:r>
        <w:rPr>
          <w:rFonts w:hint="eastAsia" w:ascii="宋体" w:hAnsi="宋体"/>
          <w:color w:val="auto"/>
          <w:sz w:val="32"/>
          <w:lang w:val="zh-CN"/>
        </w:rPr>
        <w:t>㎡，或体重至少下降</w:t>
      </w:r>
      <w:r>
        <w:rPr>
          <w:rFonts w:hint="default" w:ascii="Times New Roman" w:hAnsi="Times New Roman" w:eastAsia="Times New Roman"/>
          <w:color w:val="auto"/>
          <w:sz w:val="32"/>
          <w:lang w:val="en-US"/>
        </w:rPr>
        <w:t>7%</w:t>
      </w:r>
      <w:r>
        <w:rPr>
          <w:rFonts w:hint="eastAsia" w:ascii="宋体" w:hAnsi="宋体"/>
          <w:color w:val="auto"/>
          <w:sz w:val="32"/>
          <w:lang w:val="zh-CN"/>
        </w:rPr>
        <w:t>，每日饮食总热量至少减少</w:t>
      </w:r>
      <w:r>
        <w:rPr>
          <w:rFonts w:hint="default" w:ascii="Times New Roman" w:hAnsi="Times New Roman" w:eastAsia="Times New Roman"/>
          <w:color w:val="auto"/>
          <w:sz w:val="32"/>
          <w:lang w:val="en-US"/>
        </w:rPr>
        <w:t>400</w:t>
      </w:r>
      <w:r>
        <w:rPr>
          <w:rFonts w:hint="eastAsia" w:ascii="宋体" w:hAnsi="宋体"/>
          <w:color w:val="auto"/>
          <w:sz w:val="32"/>
          <w:lang w:val="zh-CN"/>
        </w:rPr>
        <w:t>～</w:t>
      </w:r>
      <w:r>
        <w:rPr>
          <w:rFonts w:hint="default" w:ascii="Times New Roman" w:hAnsi="Times New Roman" w:eastAsia="Times New Roman"/>
          <w:color w:val="auto"/>
          <w:sz w:val="32"/>
          <w:lang w:val="en-US"/>
        </w:rPr>
        <w:t>500kcal</w:t>
      </w:r>
      <w:r>
        <w:rPr>
          <w:rFonts w:hint="eastAsia" w:ascii="宋体" w:hAnsi="宋体"/>
          <w:color w:val="auto"/>
          <w:sz w:val="32"/>
          <w:lang w:val="zh-CN"/>
        </w:rPr>
        <w:t>，饱和脂肪酸摄入占总脂肪酸摄入的</w:t>
      </w:r>
      <w:r>
        <w:rPr>
          <w:rFonts w:hint="default" w:ascii="Times New Roman" w:hAnsi="Times New Roman" w:eastAsia="Times New Roman"/>
          <w:color w:val="auto"/>
          <w:sz w:val="32"/>
          <w:lang w:val="en-US"/>
        </w:rPr>
        <w:t>30%</w:t>
      </w:r>
      <w:r>
        <w:rPr>
          <w:rFonts w:hint="eastAsia" w:ascii="宋体" w:hAnsi="宋体"/>
          <w:color w:val="auto"/>
          <w:sz w:val="32"/>
          <w:lang w:val="zh-CN"/>
        </w:rPr>
        <w:t>以下，中等强度体力活动至少保持在</w:t>
      </w:r>
      <w:r>
        <w:rPr>
          <w:rFonts w:hint="default" w:ascii="Times New Roman" w:hAnsi="Times New Roman" w:eastAsia="Times New Roman"/>
          <w:color w:val="auto"/>
          <w:sz w:val="32"/>
          <w:lang w:val="en-US"/>
        </w:rPr>
        <w:t xml:space="preserve">150 </w:t>
      </w:r>
      <w:r>
        <w:rPr>
          <w:rFonts w:hint="eastAsia" w:ascii="宋体" w:hAnsi="宋体"/>
          <w:color w:val="auto"/>
          <w:sz w:val="32"/>
          <w:lang w:val="zh-CN"/>
        </w:rPr>
        <w:t>分钟</w:t>
      </w:r>
      <w:r>
        <w:rPr>
          <w:rFonts w:hint="default" w:ascii="Times New Roman" w:hAnsi="Times New Roman" w:eastAsia="Times New Roman"/>
          <w:color w:val="auto"/>
          <w:sz w:val="32"/>
          <w:lang w:val="en-US"/>
        </w:rPr>
        <w:t>/</w:t>
      </w:r>
      <w:r>
        <w:rPr>
          <w:rFonts w:hint="eastAsia" w:ascii="宋体" w:hAnsi="宋体"/>
          <w:color w:val="auto"/>
          <w:sz w:val="32"/>
          <w:lang w:val="zh-CN"/>
        </w:rPr>
        <w:t>周。</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3.</w:t>
      </w:r>
      <w:r>
        <w:rPr>
          <w:rFonts w:hint="eastAsia" w:ascii="宋体" w:hAnsi="宋体"/>
          <w:color w:val="auto"/>
          <w:sz w:val="32"/>
          <w:lang w:val="zh-CN"/>
        </w:rPr>
        <w:t>糖尿病患者加强健康管理。如出现糖尿病典型症状（</w:t>
      </w:r>
      <w:r>
        <w:rPr>
          <w:rFonts w:hint="default" w:ascii="宋体" w:hAnsi="宋体"/>
          <w:color w:val="auto"/>
          <w:sz w:val="32"/>
          <w:lang w:val="zh-CN"/>
        </w:rPr>
        <w:t>“</w:t>
      </w:r>
      <w:r>
        <w:rPr>
          <w:rFonts w:hint="eastAsia" w:ascii="宋体" w:hAnsi="宋体"/>
          <w:color w:val="auto"/>
          <w:sz w:val="32"/>
          <w:lang w:val="zh-CN"/>
        </w:rPr>
        <w:t>三多一少</w:t>
      </w:r>
      <w:r>
        <w:rPr>
          <w:rFonts w:hint="default" w:ascii="宋体" w:hAnsi="宋体"/>
          <w:color w:val="auto"/>
          <w:sz w:val="32"/>
          <w:lang w:val="zh-CN"/>
        </w:rPr>
        <w:t>”</w:t>
      </w:r>
      <w:r>
        <w:rPr>
          <w:rFonts w:hint="eastAsia" w:ascii="宋体" w:hAnsi="宋体"/>
          <w:color w:val="auto"/>
          <w:sz w:val="32"/>
          <w:lang w:val="zh-CN"/>
        </w:rPr>
        <w:t>即多饮、多食、多尿、体重减轻）且随机血糖≥</w:t>
      </w:r>
      <w:r>
        <w:rPr>
          <w:rFonts w:hint="default" w:ascii="Times New Roman" w:hAnsi="Times New Roman" w:eastAsia="Times New Roman"/>
          <w:color w:val="auto"/>
          <w:sz w:val="32"/>
          <w:lang w:val="en-US"/>
        </w:rPr>
        <w:t>11.1mmol/L</w:t>
      </w:r>
      <w:r>
        <w:rPr>
          <w:rFonts w:hint="eastAsia" w:ascii="宋体" w:hAnsi="宋体"/>
          <w:color w:val="auto"/>
          <w:sz w:val="32"/>
          <w:lang w:val="zh-CN"/>
        </w:rPr>
        <w:t>，或空腹血糖≥</w:t>
      </w:r>
      <w:r>
        <w:rPr>
          <w:rFonts w:hint="default" w:ascii="Times New Roman" w:hAnsi="Times New Roman" w:eastAsia="Times New Roman"/>
          <w:color w:val="auto"/>
          <w:sz w:val="32"/>
          <w:lang w:val="en-US"/>
        </w:rPr>
        <w:t>7.0mmol/L</w:t>
      </w:r>
      <w:r>
        <w:rPr>
          <w:rFonts w:hint="eastAsia" w:ascii="宋体" w:hAnsi="宋体"/>
          <w:color w:val="auto"/>
          <w:sz w:val="32"/>
          <w:lang w:val="zh-CN"/>
        </w:rPr>
        <w:t>，或糖负荷</w:t>
      </w:r>
      <w:r>
        <w:rPr>
          <w:rFonts w:hint="default" w:ascii="Times New Roman" w:hAnsi="Times New Roman" w:eastAsia="Times New Roman"/>
          <w:color w:val="auto"/>
          <w:sz w:val="32"/>
          <w:lang w:val="en-US"/>
        </w:rPr>
        <w:t>2</w:t>
      </w:r>
      <w:r>
        <w:rPr>
          <w:rFonts w:hint="eastAsia" w:ascii="宋体" w:hAnsi="宋体"/>
          <w:color w:val="auto"/>
          <w:sz w:val="32"/>
          <w:lang w:val="zh-CN"/>
        </w:rPr>
        <w:t>小时血糖≥</w:t>
      </w:r>
      <w:r>
        <w:rPr>
          <w:rFonts w:hint="default" w:ascii="Times New Roman" w:hAnsi="Times New Roman" w:eastAsia="Times New Roman"/>
          <w:color w:val="auto"/>
          <w:sz w:val="32"/>
          <w:lang w:val="en-US"/>
        </w:rPr>
        <w:t>11.1mmol/L</w:t>
      </w:r>
      <w:r>
        <w:rPr>
          <w:rFonts w:hint="eastAsia" w:ascii="宋体" w:hAnsi="宋体"/>
          <w:color w:val="auto"/>
          <w:sz w:val="32"/>
          <w:lang w:val="zh-CN"/>
        </w:rPr>
        <w:t>，可诊断为糖尿病。建议糖尿病患者定期监测血糖和血脂，控制饮食，科学运动，戒烟限酒，遵医嘱用药，定期进行并发症检查。</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4.</w:t>
      </w:r>
      <w:r>
        <w:rPr>
          <w:rFonts w:hint="eastAsia" w:ascii="宋体" w:hAnsi="宋体"/>
          <w:color w:val="auto"/>
          <w:sz w:val="32"/>
          <w:lang w:val="zh-CN"/>
        </w:rPr>
        <w:t>注重膳食营养。糖尿病患者的饮食可参照《中国糖尿病膳食指南》，做到：合理饮食，主食定量（摄入量因人而异），建议选择低血糖生成指数（</w:t>
      </w:r>
      <w:r>
        <w:rPr>
          <w:rFonts w:hint="default" w:ascii="Times New Roman" w:hAnsi="Times New Roman" w:eastAsia="Times New Roman"/>
          <w:color w:val="auto"/>
          <w:sz w:val="32"/>
          <w:lang w:val="en-US"/>
        </w:rPr>
        <w:t>GI</w:t>
      </w:r>
      <w:r>
        <w:rPr>
          <w:rFonts w:hint="eastAsia" w:ascii="宋体" w:hAnsi="宋体"/>
          <w:color w:val="auto"/>
          <w:sz w:val="32"/>
          <w:lang w:val="zh-CN"/>
        </w:rPr>
        <w:t>）食物，全谷物、杂豆类占主食摄入量的三分之一；建议餐餐有蔬菜，两餐之间适量选择低</w:t>
      </w:r>
      <w:r>
        <w:rPr>
          <w:rFonts w:hint="default" w:ascii="Times New Roman" w:hAnsi="Times New Roman" w:eastAsia="Times New Roman"/>
          <w:color w:val="auto"/>
          <w:sz w:val="32"/>
          <w:lang w:val="en-US"/>
        </w:rPr>
        <w:t>GI</w:t>
      </w:r>
      <w:r>
        <w:rPr>
          <w:rFonts w:hint="eastAsia" w:ascii="宋体" w:hAnsi="宋体"/>
          <w:color w:val="auto"/>
          <w:sz w:val="32"/>
          <w:lang w:val="zh-CN"/>
        </w:rPr>
        <w:t>水果；每周不超过</w:t>
      </w:r>
      <w:r>
        <w:rPr>
          <w:rFonts w:hint="default" w:ascii="Times New Roman" w:hAnsi="Times New Roman" w:eastAsia="Times New Roman"/>
          <w:color w:val="auto"/>
          <w:sz w:val="32"/>
          <w:lang w:val="en-US"/>
        </w:rPr>
        <w:t>4</w:t>
      </w:r>
      <w:r>
        <w:rPr>
          <w:rFonts w:hint="eastAsia" w:ascii="宋体" w:hAnsi="宋体"/>
          <w:color w:val="auto"/>
          <w:sz w:val="32"/>
          <w:lang w:val="zh-CN"/>
        </w:rPr>
        <w:t>个鸡蛋或每两天</w:t>
      </w:r>
      <w:r>
        <w:rPr>
          <w:rFonts w:hint="default" w:ascii="Times New Roman" w:hAnsi="Times New Roman" w:eastAsia="Times New Roman"/>
          <w:color w:val="auto"/>
          <w:sz w:val="32"/>
          <w:lang w:val="en-US"/>
        </w:rPr>
        <w:t>1</w:t>
      </w:r>
      <w:r>
        <w:rPr>
          <w:rFonts w:hint="eastAsia" w:ascii="宋体" w:hAnsi="宋体"/>
          <w:color w:val="auto"/>
          <w:sz w:val="32"/>
          <w:lang w:val="zh-CN"/>
        </w:rPr>
        <w:t>个鸡蛋，不弃蛋黄；奶类豆类天天有，零食加餐可选择少许坚果；烹调注意少油少盐；推荐饮用白开水，不饮酒；进餐定时定量，控制进餐速度，细嚼慢咽。进餐顺序宜为先吃蔬菜、再吃肉类、最后吃主食。</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5.</w:t>
      </w:r>
      <w:r>
        <w:rPr>
          <w:rFonts w:hint="eastAsia" w:ascii="宋体" w:hAnsi="宋体"/>
          <w:color w:val="auto"/>
          <w:sz w:val="32"/>
          <w:lang w:val="zh-CN"/>
        </w:rPr>
        <w:t>科学运动。糖尿病患者要遵守合适的运动促进健康指导方法并及时作出必要的调整。每周至少有</w:t>
      </w:r>
      <w:r>
        <w:rPr>
          <w:rFonts w:hint="default" w:ascii="Times New Roman" w:hAnsi="Times New Roman" w:eastAsia="Times New Roman"/>
          <w:color w:val="auto"/>
          <w:sz w:val="32"/>
          <w:lang w:val="en-US"/>
        </w:rPr>
        <w:t>5</w:t>
      </w:r>
      <w:r>
        <w:rPr>
          <w:rFonts w:hint="eastAsia" w:ascii="宋体" w:hAnsi="宋体"/>
          <w:color w:val="auto"/>
          <w:sz w:val="32"/>
          <w:lang w:val="zh-CN"/>
        </w:rPr>
        <w:t>天，每天半小时以上的中等量运动，适合糖尿病患者的运动有走步、游泳、太极拳、广场舞等。运动时需防止低血糖和跌倒摔伤。不建议老年患者参加剧烈运动。血糖控制极差且伴有急性并发症或严重慢性并发症时，不宜采取运动疗法。</w:t>
      </w:r>
    </w:p>
    <w:p>
      <w:pPr>
        <w:spacing w:beforeLines="0" w:afterLines="0" w:line="600" w:lineRule="atLeast"/>
        <w:ind w:firstLine="643"/>
        <w:rPr>
          <w:rFonts w:hint="default" w:ascii="Times New Roman" w:hAnsi="Times New Roman" w:eastAsia="Times New Roman"/>
          <w:b/>
          <w:color w:val="auto"/>
          <w:sz w:val="32"/>
          <w:lang w:val="en-US"/>
        </w:rPr>
      </w:pPr>
      <w:r>
        <w:rPr>
          <w:rFonts w:hint="default" w:ascii="宋体" w:hAnsi="宋体"/>
          <w:b/>
          <w:color w:val="auto"/>
          <w:sz w:val="32"/>
          <w:lang w:val="zh-CN"/>
        </w:rPr>
        <w:t>——</w:t>
      </w:r>
      <w:r>
        <w:rPr>
          <w:rFonts w:hint="eastAsia" w:ascii="宋体" w:hAnsi="宋体"/>
          <w:b/>
          <w:color w:val="auto"/>
          <w:sz w:val="32"/>
          <w:lang w:val="zh-CN"/>
        </w:rPr>
        <w:t>社会和政府：</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1.</w:t>
      </w:r>
      <w:r>
        <w:rPr>
          <w:rFonts w:hint="eastAsia" w:ascii="宋体" w:hAnsi="宋体"/>
          <w:color w:val="auto"/>
          <w:sz w:val="32"/>
          <w:lang w:val="zh-CN"/>
        </w:rPr>
        <w:t>承担国家公共卫生服务项目的基层医疗卫生机构应为辖区内</w:t>
      </w:r>
      <w:r>
        <w:rPr>
          <w:rFonts w:hint="default" w:ascii="Times New Roman" w:hAnsi="Times New Roman" w:eastAsia="Times New Roman"/>
          <w:color w:val="auto"/>
          <w:sz w:val="32"/>
          <w:lang w:val="en-US"/>
        </w:rPr>
        <w:t>35</w:t>
      </w:r>
      <w:r>
        <w:rPr>
          <w:rFonts w:hint="eastAsia" w:ascii="宋体" w:hAnsi="宋体"/>
          <w:color w:val="auto"/>
          <w:sz w:val="32"/>
          <w:lang w:val="zh-CN"/>
        </w:rPr>
        <w:t>岁及以上常住居民中</w:t>
      </w:r>
      <w:r>
        <w:rPr>
          <w:rFonts w:hint="default" w:ascii="Times New Roman" w:hAnsi="Times New Roman" w:eastAsia="Times New Roman"/>
          <w:color w:val="auto"/>
          <w:sz w:val="32"/>
          <w:lang w:val="en-US"/>
        </w:rPr>
        <w:t>2</w:t>
      </w:r>
      <w:r>
        <w:rPr>
          <w:rFonts w:hint="eastAsia" w:ascii="宋体" w:hAnsi="宋体"/>
          <w:color w:val="auto"/>
          <w:sz w:val="32"/>
          <w:lang w:val="zh-CN"/>
        </w:rPr>
        <w:t>型糖尿病患者提供规范的健康管理服务，对</w:t>
      </w:r>
      <w:r>
        <w:rPr>
          <w:rFonts w:hint="default" w:ascii="Times New Roman" w:hAnsi="Times New Roman" w:eastAsia="Times New Roman"/>
          <w:color w:val="auto"/>
          <w:sz w:val="32"/>
          <w:lang w:val="en-US"/>
        </w:rPr>
        <w:t>2</w:t>
      </w:r>
      <w:r>
        <w:rPr>
          <w:rFonts w:hint="eastAsia" w:ascii="宋体" w:hAnsi="宋体"/>
          <w:color w:val="auto"/>
          <w:sz w:val="32"/>
          <w:lang w:val="zh-CN"/>
        </w:rPr>
        <w:t>型糖尿病高危人群进行针对性的健康教育。（卫生健康委牵头，财政部按职责负责）</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2.</w:t>
      </w:r>
      <w:r>
        <w:rPr>
          <w:rFonts w:hint="eastAsia" w:ascii="宋体" w:hAnsi="宋体"/>
          <w:color w:val="auto"/>
          <w:sz w:val="32"/>
          <w:lang w:val="zh-CN"/>
        </w:rPr>
        <w:t>落实糖尿病分级诊疗服务技术规范，鼓励医疗机构为糖尿病患者开展饮食控制指导和运动促进健康指导，对患者开展自我血糖监测和健康管理进行指导。（卫生健康委牵头，体育总局、中医药局按职责分工负责）</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3.</w:t>
      </w:r>
      <w:r>
        <w:rPr>
          <w:rFonts w:hint="eastAsia" w:ascii="宋体" w:hAnsi="宋体"/>
          <w:color w:val="auto"/>
          <w:sz w:val="32"/>
          <w:lang w:val="zh-CN"/>
        </w:rPr>
        <w:t>促进基层糖尿病及并发症筛查标准化，提高医务人员对糖尿病及其并发症的早期发现、规范化诊疗和治疗能力。及早干预治疗糖尿病视网膜病变、糖尿病伴肾脏损害、糖尿病足等并发症，延缓并发症进展，降低致残率和致死率。（卫生健康委牵头，财政部按职责负责）</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4.</w:t>
      </w:r>
      <w:r>
        <w:rPr>
          <w:rFonts w:hint="eastAsia" w:ascii="宋体" w:hAnsi="宋体"/>
          <w:color w:val="auto"/>
          <w:sz w:val="32"/>
          <w:lang w:val="zh-CN"/>
        </w:rPr>
        <w:t>依托区域全民健康信息平台，推进</w:t>
      </w:r>
      <w:r>
        <w:rPr>
          <w:rFonts w:hint="default" w:ascii="宋体" w:hAnsi="宋体"/>
          <w:color w:val="auto"/>
          <w:sz w:val="32"/>
          <w:lang w:val="zh-CN"/>
        </w:rPr>
        <w:t>“</w:t>
      </w:r>
      <w:r>
        <w:rPr>
          <w:rFonts w:hint="eastAsia" w:ascii="宋体" w:hAnsi="宋体"/>
          <w:color w:val="auto"/>
          <w:sz w:val="32"/>
          <w:lang w:val="zh-CN"/>
        </w:rPr>
        <w:t>互联网</w:t>
      </w:r>
      <w:r>
        <w:rPr>
          <w:rFonts w:hint="default" w:ascii="Times New Roman" w:hAnsi="Times New Roman" w:eastAsia="Times New Roman"/>
          <w:color w:val="auto"/>
          <w:sz w:val="32"/>
          <w:lang w:val="en-US"/>
        </w:rPr>
        <w:t>+</w:t>
      </w:r>
      <w:r>
        <w:rPr>
          <w:rFonts w:hint="eastAsia" w:ascii="宋体" w:hAnsi="宋体"/>
          <w:color w:val="auto"/>
          <w:sz w:val="32"/>
          <w:lang w:val="zh-CN"/>
        </w:rPr>
        <w:t>公共卫生</w:t>
      </w:r>
      <w:r>
        <w:rPr>
          <w:rFonts w:hint="default" w:ascii="宋体" w:hAnsi="宋体"/>
          <w:color w:val="auto"/>
          <w:sz w:val="32"/>
          <w:lang w:val="zh-CN"/>
        </w:rPr>
        <w:t>”</w:t>
      </w:r>
      <w:r>
        <w:rPr>
          <w:rFonts w:hint="eastAsia" w:ascii="宋体" w:hAnsi="宋体"/>
          <w:color w:val="auto"/>
          <w:sz w:val="32"/>
          <w:lang w:val="zh-CN"/>
        </w:rPr>
        <w:t>服务，充分利用信息技术丰富糖尿病健康管理手段，创新健康服务模式，提高管理效果。（卫生健康委牵头，发展改革委、财政部按职责分工负责）</w:t>
      </w:r>
    </w:p>
    <w:p>
      <w:pPr>
        <w:spacing w:beforeLines="0" w:afterLines="0" w:line="600" w:lineRule="atLeast"/>
        <w:ind w:firstLine="643"/>
        <w:rPr>
          <w:rFonts w:hint="default" w:ascii="Times New Roman" w:hAnsi="Times New Roman" w:eastAsia="Times New Roman"/>
          <w:b/>
          <w:color w:val="auto"/>
          <w:sz w:val="32"/>
          <w:lang w:val="en-US"/>
        </w:rPr>
      </w:pPr>
      <w:r>
        <w:rPr>
          <w:rFonts w:hint="eastAsia" w:ascii="宋体" w:hAnsi="宋体"/>
          <w:b/>
          <w:color w:val="auto"/>
          <w:sz w:val="32"/>
          <w:lang w:val="zh-CN"/>
        </w:rPr>
        <w:t>（十五）传染病及地方病防控行动。</w:t>
      </w:r>
    </w:p>
    <w:p>
      <w:pPr>
        <w:spacing w:beforeLines="0" w:afterLines="0" w:line="600" w:lineRule="atLeast"/>
        <w:ind w:firstLine="640"/>
        <w:rPr>
          <w:rFonts w:hint="default" w:ascii="Times New Roman" w:hAnsi="Times New Roman" w:eastAsia="Times New Roman"/>
          <w:color w:val="auto"/>
          <w:sz w:val="32"/>
          <w:lang w:val="en-US"/>
        </w:rPr>
      </w:pPr>
      <w:r>
        <w:rPr>
          <w:rFonts w:hint="eastAsia" w:ascii="宋体" w:hAnsi="宋体"/>
          <w:color w:val="auto"/>
          <w:sz w:val="32"/>
          <w:lang w:val="zh-CN"/>
        </w:rPr>
        <w:t>近年来，我国传染病疫情总体形势稳中有降，但防控形势依然严峻。性传播成为艾滋病的主要传播途径，疫情逐步由易感染艾滋病危险行为人群向一般人群传播，波及范围广，影响因素复杂，干预难度大；现有慢性乙肝患者约</w:t>
      </w:r>
      <w:r>
        <w:rPr>
          <w:rFonts w:hint="default" w:ascii="Times New Roman" w:hAnsi="Times New Roman" w:eastAsia="Times New Roman"/>
          <w:color w:val="auto"/>
          <w:sz w:val="32"/>
          <w:lang w:val="en-US"/>
        </w:rPr>
        <w:t>2800</w:t>
      </w:r>
      <w:r>
        <w:rPr>
          <w:rFonts w:hint="eastAsia" w:ascii="宋体" w:hAnsi="宋体"/>
          <w:color w:val="auto"/>
          <w:sz w:val="32"/>
          <w:lang w:val="zh-CN"/>
        </w:rPr>
        <w:t>万人，慢性丙肝患者约</w:t>
      </w:r>
      <w:r>
        <w:rPr>
          <w:rFonts w:hint="default" w:ascii="Times New Roman" w:hAnsi="Times New Roman" w:eastAsia="Times New Roman"/>
          <w:color w:val="auto"/>
          <w:sz w:val="32"/>
          <w:lang w:val="en-US"/>
        </w:rPr>
        <w:t>450</w:t>
      </w:r>
      <w:r>
        <w:rPr>
          <w:rFonts w:hint="eastAsia" w:ascii="宋体" w:hAnsi="宋体"/>
          <w:color w:val="auto"/>
          <w:sz w:val="32"/>
          <w:lang w:val="zh-CN"/>
        </w:rPr>
        <w:t>万，每年新发结核病患者约</w:t>
      </w:r>
      <w:r>
        <w:rPr>
          <w:rFonts w:hint="default" w:ascii="Times New Roman" w:hAnsi="Times New Roman" w:eastAsia="Times New Roman"/>
          <w:color w:val="auto"/>
          <w:sz w:val="32"/>
          <w:lang w:val="en-US"/>
        </w:rPr>
        <w:t>90</w:t>
      </w:r>
      <w:r>
        <w:rPr>
          <w:rFonts w:hint="eastAsia" w:ascii="宋体" w:hAnsi="宋体"/>
          <w:color w:val="auto"/>
          <w:sz w:val="32"/>
          <w:lang w:val="zh-CN"/>
        </w:rPr>
        <w:t>万例。包虫病等重点寄生虫病仍然严重威胁流行地区居民的健康。地方病流行区域广、受威胁人口多，</w:t>
      </w:r>
      <w:r>
        <w:rPr>
          <w:rFonts w:hint="default" w:ascii="Times New Roman" w:hAnsi="Times New Roman" w:eastAsia="Times New Roman"/>
          <w:color w:val="auto"/>
          <w:sz w:val="32"/>
          <w:lang w:val="en-US"/>
        </w:rPr>
        <w:t>40%</w:t>
      </w:r>
      <w:r>
        <w:rPr>
          <w:rFonts w:hint="eastAsia" w:ascii="宋体" w:hAnsi="宋体"/>
          <w:color w:val="auto"/>
          <w:sz w:val="32"/>
          <w:lang w:val="zh-CN"/>
        </w:rPr>
        <w:t>的县有</w:t>
      </w:r>
      <w:r>
        <w:rPr>
          <w:rFonts w:hint="default" w:ascii="Times New Roman" w:hAnsi="Times New Roman" w:eastAsia="Times New Roman"/>
          <w:color w:val="auto"/>
          <w:sz w:val="32"/>
          <w:lang w:val="en-US"/>
        </w:rPr>
        <w:t>1</w:t>
      </w:r>
      <w:r>
        <w:rPr>
          <w:rFonts w:hint="eastAsia" w:ascii="宋体" w:hAnsi="宋体"/>
          <w:color w:val="auto"/>
          <w:sz w:val="32"/>
          <w:lang w:val="zh-CN"/>
        </w:rPr>
        <w:t>种地方病，</w:t>
      </w:r>
      <w:r>
        <w:rPr>
          <w:rFonts w:hint="default" w:ascii="Times New Roman" w:hAnsi="Times New Roman" w:eastAsia="Times New Roman"/>
          <w:color w:val="auto"/>
          <w:sz w:val="32"/>
          <w:lang w:val="en-US"/>
        </w:rPr>
        <w:t>22%</w:t>
      </w:r>
      <w:r>
        <w:rPr>
          <w:rFonts w:hint="eastAsia" w:ascii="宋体" w:hAnsi="宋体"/>
          <w:color w:val="auto"/>
          <w:sz w:val="32"/>
          <w:lang w:val="zh-CN"/>
        </w:rPr>
        <w:t>的县有</w:t>
      </w:r>
      <w:r>
        <w:rPr>
          <w:rFonts w:hint="default" w:ascii="Times New Roman" w:hAnsi="Times New Roman" w:eastAsia="Times New Roman"/>
          <w:color w:val="auto"/>
          <w:sz w:val="32"/>
          <w:lang w:val="en-US"/>
        </w:rPr>
        <w:t>3</w:t>
      </w:r>
      <w:r>
        <w:rPr>
          <w:rFonts w:hint="eastAsia" w:ascii="宋体" w:hAnsi="宋体"/>
          <w:color w:val="auto"/>
          <w:sz w:val="32"/>
          <w:lang w:val="zh-CN"/>
        </w:rPr>
        <w:t>种以上的地方病。地方病重点地区与贫困地区高度重合，全国</w:t>
      </w:r>
      <w:r>
        <w:rPr>
          <w:rFonts w:hint="default" w:ascii="Times New Roman" w:hAnsi="Times New Roman" w:eastAsia="Times New Roman"/>
          <w:color w:val="auto"/>
          <w:sz w:val="32"/>
          <w:lang w:val="en-US"/>
        </w:rPr>
        <w:t>832</w:t>
      </w:r>
      <w:r>
        <w:rPr>
          <w:rFonts w:hint="eastAsia" w:ascii="宋体" w:hAnsi="宋体"/>
          <w:color w:val="auto"/>
          <w:sz w:val="32"/>
          <w:lang w:val="zh-CN"/>
        </w:rPr>
        <w:t>个国家级贫困县中，</w:t>
      </w:r>
      <w:r>
        <w:rPr>
          <w:rFonts w:hint="default" w:ascii="Times New Roman" w:hAnsi="Times New Roman" w:eastAsia="Times New Roman"/>
          <w:color w:val="auto"/>
          <w:sz w:val="32"/>
          <w:lang w:val="en-US"/>
        </w:rPr>
        <w:t>831</w:t>
      </w:r>
      <w:r>
        <w:rPr>
          <w:rFonts w:hint="eastAsia" w:ascii="宋体" w:hAnsi="宋体"/>
          <w:color w:val="auto"/>
          <w:sz w:val="32"/>
          <w:lang w:val="zh-CN"/>
        </w:rPr>
        <w:t>个县有碘缺乏病，</w:t>
      </w:r>
      <w:r>
        <w:rPr>
          <w:rFonts w:hint="default" w:ascii="Times New Roman" w:hAnsi="Times New Roman" w:eastAsia="Times New Roman"/>
          <w:color w:val="auto"/>
          <w:sz w:val="32"/>
          <w:lang w:val="en-US"/>
        </w:rPr>
        <w:t>584</w:t>
      </w:r>
      <w:r>
        <w:rPr>
          <w:rFonts w:hint="eastAsia" w:ascii="宋体" w:hAnsi="宋体"/>
          <w:color w:val="auto"/>
          <w:sz w:val="32"/>
          <w:lang w:val="zh-CN"/>
        </w:rPr>
        <w:t>个县有饮水型氟中毒、饮茶型地氟病、大骨节病、克山病等，因病致贫、返贫现象突出。加大传染病及地方病防治工作力度是维护人民健康的迫切需要，也是健康扶贫的重要举措。</w:t>
      </w:r>
    </w:p>
    <w:p>
      <w:pPr>
        <w:spacing w:beforeLines="0" w:afterLines="0" w:line="600" w:lineRule="atLeast"/>
        <w:ind w:firstLine="640"/>
        <w:rPr>
          <w:rFonts w:hint="default" w:ascii="Times New Roman" w:hAnsi="Times New Roman" w:eastAsia="Times New Roman"/>
          <w:color w:val="auto"/>
          <w:sz w:val="32"/>
          <w:lang w:val="en-US"/>
        </w:rPr>
      </w:pPr>
      <w:r>
        <w:rPr>
          <w:rFonts w:hint="eastAsia" w:ascii="宋体" w:hAnsi="宋体"/>
          <w:color w:val="auto"/>
          <w:sz w:val="32"/>
          <w:lang w:val="zh-CN"/>
        </w:rPr>
        <w:t>行动目标：</w:t>
      </w:r>
    </w:p>
    <w:p>
      <w:pPr>
        <w:spacing w:beforeLines="0" w:afterLines="0" w:line="600" w:lineRule="atLeast"/>
        <w:ind w:firstLine="640"/>
        <w:rPr>
          <w:rFonts w:hint="default" w:ascii="Times New Roman" w:hAnsi="Times New Roman" w:eastAsia="Times New Roman"/>
          <w:color w:val="auto"/>
          <w:sz w:val="32"/>
          <w:lang w:val="en-US"/>
        </w:rPr>
      </w:pPr>
      <w:r>
        <w:rPr>
          <w:rFonts w:hint="eastAsia" w:ascii="宋体" w:hAnsi="宋体"/>
          <w:color w:val="auto"/>
          <w:sz w:val="32"/>
          <w:lang w:val="zh-CN"/>
        </w:rPr>
        <w:t>到</w:t>
      </w:r>
      <w:r>
        <w:rPr>
          <w:rFonts w:hint="default" w:ascii="Times New Roman" w:hAnsi="Times New Roman" w:eastAsia="Times New Roman"/>
          <w:color w:val="auto"/>
          <w:sz w:val="32"/>
          <w:lang w:val="en-US"/>
        </w:rPr>
        <w:t>2022</w:t>
      </w:r>
      <w:r>
        <w:rPr>
          <w:rFonts w:hint="eastAsia" w:ascii="宋体" w:hAnsi="宋体"/>
          <w:color w:val="auto"/>
          <w:sz w:val="32"/>
          <w:lang w:val="zh-CN"/>
        </w:rPr>
        <w:t>年和</w:t>
      </w:r>
      <w:r>
        <w:rPr>
          <w:rFonts w:hint="default" w:ascii="Times New Roman" w:hAnsi="Times New Roman" w:eastAsia="Times New Roman"/>
          <w:color w:val="auto"/>
          <w:sz w:val="32"/>
          <w:lang w:val="en-US"/>
        </w:rPr>
        <w:t>2030</w:t>
      </w:r>
      <w:r>
        <w:rPr>
          <w:rFonts w:hint="eastAsia" w:ascii="宋体" w:hAnsi="宋体"/>
          <w:color w:val="auto"/>
          <w:sz w:val="32"/>
          <w:lang w:val="zh-CN"/>
        </w:rPr>
        <w:t>年，艾滋病全人群感染率分别控制在</w:t>
      </w:r>
      <w:r>
        <w:rPr>
          <w:rFonts w:hint="default" w:ascii="Times New Roman" w:hAnsi="Times New Roman" w:eastAsia="Times New Roman"/>
          <w:color w:val="auto"/>
          <w:sz w:val="32"/>
          <w:lang w:val="en-US"/>
        </w:rPr>
        <w:t>0.15%</w:t>
      </w:r>
      <w:r>
        <w:rPr>
          <w:rFonts w:hint="eastAsia" w:ascii="宋体" w:hAnsi="宋体"/>
          <w:color w:val="auto"/>
          <w:sz w:val="32"/>
          <w:lang w:val="zh-CN"/>
        </w:rPr>
        <w:t>以下和</w:t>
      </w:r>
      <w:r>
        <w:rPr>
          <w:rFonts w:hint="default" w:ascii="Times New Roman" w:hAnsi="Times New Roman" w:eastAsia="Times New Roman"/>
          <w:color w:val="auto"/>
          <w:sz w:val="32"/>
          <w:lang w:val="en-US"/>
        </w:rPr>
        <w:t>0.2%</w:t>
      </w:r>
      <w:r>
        <w:rPr>
          <w:rFonts w:hint="eastAsia" w:ascii="宋体" w:hAnsi="宋体"/>
          <w:color w:val="auto"/>
          <w:sz w:val="32"/>
          <w:lang w:val="zh-CN"/>
        </w:rPr>
        <w:t>以下；</w:t>
      </w:r>
      <w:r>
        <w:rPr>
          <w:rFonts w:hint="default" w:ascii="Times New Roman" w:hAnsi="Times New Roman" w:eastAsia="Times New Roman"/>
          <w:color w:val="auto"/>
          <w:sz w:val="32"/>
          <w:lang w:val="en-US"/>
        </w:rPr>
        <w:t>5</w:t>
      </w:r>
      <w:r>
        <w:rPr>
          <w:rFonts w:hint="eastAsia" w:ascii="宋体" w:hAnsi="宋体"/>
          <w:color w:val="auto"/>
          <w:sz w:val="32"/>
          <w:lang w:val="zh-CN"/>
        </w:rPr>
        <w:t>岁以下儿童乙型肝炎病毒表面抗原流行率分别控制在</w:t>
      </w:r>
      <w:r>
        <w:rPr>
          <w:rFonts w:hint="default" w:ascii="Times New Roman" w:hAnsi="Times New Roman" w:eastAsia="Times New Roman"/>
          <w:color w:val="auto"/>
          <w:sz w:val="32"/>
          <w:lang w:val="en-US"/>
        </w:rPr>
        <w:t>1%</w:t>
      </w:r>
      <w:r>
        <w:rPr>
          <w:rFonts w:hint="eastAsia" w:ascii="宋体" w:hAnsi="宋体"/>
          <w:color w:val="auto"/>
          <w:sz w:val="32"/>
          <w:lang w:val="zh-CN"/>
        </w:rPr>
        <w:t>和</w:t>
      </w:r>
      <w:r>
        <w:rPr>
          <w:rFonts w:hint="default" w:ascii="Times New Roman" w:hAnsi="Times New Roman" w:eastAsia="Times New Roman"/>
          <w:color w:val="auto"/>
          <w:sz w:val="32"/>
          <w:lang w:val="en-US"/>
        </w:rPr>
        <w:t>0.5%</w:t>
      </w:r>
      <w:r>
        <w:rPr>
          <w:rFonts w:hint="eastAsia" w:ascii="宋体" w:hAnsi="宋体"/>
          <w:color w:val="auto"/>
          <w:sz w:val="32"/>
          <w:lang w:val="zh-CN"/>
        </w:rPr>
        <w:t>以下；肺结核发病率下降到</w:t>
      </w:r>
      <w:r>
        <w:rPr>
          <w:rFonts w:hint="default" w:ascii="Times New Roman" w:hAnsi="Times New Roman" w:eastAsia="Times New Roman"/>
          <w:color w:val="auto"/>
          <w:sz w:val="32"/>
          <w:lang w:val="en-US"/>
        </w:rPr>
        <w:t>55/10</w:t>
      </w:r>
      <w:r>
        <w:rPr>
          <w:rFonts w:hint="eastAsia" w:ascii="宋体" w:hAnsi="宋体"/>
          <w:color w:val="auto"/>
          <w:sz w:val="32"/>
          <w:lang w:val="zh-CN"/>
        </w:rPr>
        <w:t>万以下，并呈持续下降趋势；以乡（镇、街道）为单位，适龄儿童免疫规划疫苗接种率保持在</w:t>
      </w:r>
      <w:r>
        <w:rPr>
          <w:rFonts w:hint="default" w:ascii="Times New Roman" w:hAnsi="Times New Roman" w:eastAsia="Times New Roman"/>
          <w:color w:val="auto"/>
          <w:sz w:val="32"/>
          <w:lang w:val="en-US"/>
        </w:rPr>
        <w:t>90%</w:t>
      </w:r>
      <w:r>
        <w:rPr>
          <w:rFonts w:hint="eastAsia" w:ascii="宋体" w:hAnsi="宋体"/>
          <w:color w:val="auto"/>
          <w:sz w:val="32"/>
          <w:lang w:val="zh-CN"/>
        </w:rPr>
        <w:t>以上；法定传染病报告率保持在</w:t>
      </w:r>
      <w:r>
        <w:rPr>
          <w:rFonts w:hint="default" w:ascii="Times New Roman" w:hAnsi="Times New Roman" w:eastAsia="Times New Roman"/>
          <w:color w:val="auto"/>
          <w:sz w:val="32"/>
          <w:lang w:val="en-US"/>
        </w:rPr>
        <w:t>95%</w:t>
      </w:r>
      <w:r>
        <w:rPr>
          <w:rFonts w:hint="eastAsia" w:ascii="宋体" w:hAnsi="宋体"/>
          <w:color w:val="auto"/>
          <w:sz w:val="32"/>
          <w:lang w:val="zh-CN"/>
        </w:rPr>
        <w:t>以上；到</w:t>
      </w:r>
      <w:r>
        <w:rPr>
          <w:rFonts w:hint="default" w:ascii="Times New Roman" w:hAnsi="Times New Roman" w:eastAsia="Times New Roman"/>
          <w:color w:val="auto"/>
          <w:sz w:val="32"/>
          <w:lang w:val="en-US"/>
        </w:rPr>
        <w:t>2020</w:t>
      </w:r>
      <w:r>
        <w:rPr>
          <w:rFonts w:hint="eastAsia" w:ascii="宋体" w:hAnsi="宋体"/>
          <w:color w:val="auto"/>
          <w:sz w:val="32"/>
          <w:lang w:val="zh-CN"/>
        </w:rPr>
        <w:t>年消除疟疾并持续保持；到</w:t>
      </w:r>
      <w:r>
        <w:rPr>
          <w:rFonts w:hint="default" w:ascii="Times New Roman" w:hAnsi="Times New Roman" w:eastAsia="Times New Roman"/>
          <w:color w:val="auto"/>
          <w:sz w:val="32"/>
          <w:lang w:val="en-US"/>
        </w:rPr>
        <w:t>2022</w:t>
      </w:r>
      <w:r>
        <w:rPr>
          <w:rFonts w:hint="eastAsia" w:ascii="宋体" w:hAnsi="宋体"/>
          <w:color w:val="auto"/>
          <w:sz w:val="32"/>
          <w:lang w:val="zh-CN"/>
        </w:rPr>
        <w:t>年有效控制和消除血吸虫病危害，到</w:t>
      </w:r>
      <w:r>
        <w:rPr>
          <w:rFonts w:hint="default" w:ascii="Times New Roman" w:hAnsi="Times New Roman" w:eastAsia="Times New Roman"/>
          <w:color w:val="auto"/>
          <w:sz w:val="32"/>
          <w:lang w:val="en-US"/>
        </w:rPr>
        <w:t>2030</w:t>
      </w:r>
      <w:r>
        <w:rPr>
          <w:rFonts w:hint="eastAsia" w:ascii="宋体" w:hAnsi="宋体"/>
          <w:color w:val="auto"/>
          <w:sz w:val="32"/>
          <w:lang w:val="zh-CN"/>
        </w:rPr>
        <w:t>年消除血吸虫病；到</w:t>
      </w:r>
      <w:r>
        <w:rPr>
          <w:rFonts w:hint="default" w:ascii="Times New Roman" w:hAnsi="Times New Roman" w:eastAsia="Times New Roman"/>
          <w:color w:val="auto"/>
          <w:sz w:val="32"/>
          <w:lang w:val="en-US"/>
        </w:rPr>
        <w:t>2022</w:t>
      </w:r>
      <w:r>
        <w:rPr>
          <w:rFonts w:hint="eastAsia" w:ascii="宋体" w:hAnsi="宋体"/>
          <w:color w:val="auto"/>
          <w:sz w:val="32"/>
          <w:lang w:val="zh-CN"/>
        </w:rPr>
        <w:t>年</w:t>
      </w:r>
      <w:r>
        <w:rPr>
          <w:rFonts w:hint="default" w:ascii="Times New Roman" w:hAnsi="Times New Roman" w:eastAsia="Times New Roman"/>
          <w:color w:val="auto"/>
          <w:sz w:val="32"/>
          <w:lang w:val="en-US"/>
        </w:rPr>
        <w:t>70%</w:t>
      </w:r>
      <w:r>
        <w:rPr>
          <w:rFonts w:hint="eastAsia" w:ascii="宋体" w:hAnsi="宋体"/>
          <w:color w:val="auto"/>
          <w:sz w:val="32"/>
          <w:lang w:val="zh-CN"/>
        </w:rPr>
        <w:t>以上的流行县人群包虫病患病率在</w:t>
      </w:r>
      <w:r>
        <w:rPr>
          <w:rFonts w:hint="default" w:ascii="Times New Roman" w:hAnsi="Times New Roman" w:eastAsia="Times New Roman"/>
          <w:color w:val="auto"/>
          <w:sz w:val="32"/>
          <w:lang w:val="en-US"/>
        </w:rPr>
        <w:t>1%</w:t>
      </w:r>
      <w:r>
        <w:rPr>
          <w:rFonts w:hint="eastAsia" w:ascii="宋体" w:hAnsi="宋体"/>
          <w:color w:val="auto"/>
          <w:sz w:val="32"/>
          <w:lang w:val="zh-CN"/>
        </w:rPr>
        <w:t>以下，到</w:t>
      </w:r>
      <w:r>
        <w:rPr>
          <w:rFonts w:hint="default" w:ascii="Times New Roman" w:hAnsi="Times New Roman" w:eastAsia="Times New Roman"/>
          <w:color w:val="auto"/>
          <w:sz w:val="32"/>
          <w:lang w:val="en-US"/>
        </w:rPr>
        <w:t>2030</w:t>
      </w:r>
      <w:r>
        <w:rPr>
          <w:rFonts w:hint="eastAsia" w:ascii="宋体" w:hAnsi="宋体"/>
          <w:color w:val="auto"/>
          <w:sz w:val="32"/>
          <w:lang w:val="zh-CN"/>
        </w:rPr>
        <w:t>年所有流行县人群包虫病患病率在</w:t>
      </w:r>
      <w:r>
        <w:rPr>
          <w:rFonts w:hint="default" w:ascii="Times New Roman" w:hAnsi="Times New Roman" w:eastAsia="Times New Roman"/>
          <w:color w:val="auto"/>
          <w:sz w:val="32"/>
          <w:lang w:val="en-US"/>
        </w:rPr>
        <w:t>1%</w:t>
      </w:r>
      <w:r>
        <w:rPr>
          <w:rFonts w:hint="eastAsia" w:ascii="宋体" w:hAnsi="宋体"/>
          <w:color w:val="auto"/>
          <w:sz w:val="32"/>
          <w:lang w:val="zh-CN"/>
        </w:rPr>
        <w:t>以下；到</w:t>
      </w:r>
      <w:r>
        <w:rPr>
          <w:rFonts w:hint="default" w:ascii="Times New Roman" w:hAnsi="Times New Roman" w:eastAsia="Times New Roman"/>
          <w:color w:val="auto"/>
          <w:sz w:val="32"/>
          <w:lang w:val="en-US"/>
        </w:rPr>
        <w:t>2020</w:t>
      </w:r>
      <w:r>
        <w:rPr>
          <w:rFonts w:hint="eastAsia" w:ascii="宋体" w:hAnsi="宋体"/>
          <w:color w:val="auto"/>
          <w:sz w:val="32"/>
          <w:lang w:val="zh-CN"/>
        </w:rPr>
        <w:t>年持续消除碘缺乏危害；到</w:t>
      </w:r>
      <w:r>
        <w:rPr>
          <w:rFonts w:hint="default" w:ascii="Times New Roman" w:hAnsi="Times New Roman" w:eastAsia="Times New Roman"/>
          <w:color w:val="auto"/>
          <w:sz w:val="32"/>
          <w:lang w:val="en-US"/>
        </w:rPr>
        <w:t>2022</w:t>
      </w:r>
      <w:r>
        <w:rPr>
          <w:rFonts w:hint="eastAsia" w:ascii="宋体" w:hAnsi="宋体"/>
          <w:color w:val="auto"/>
          <w:sz w:val="32"/>
          <w:lang w:val="zh-CN"/>
        </w:rPr>
        <w:t>年基本消除燃煤污染型氟砷中毒、大骨节病和克山病危害，有效控制饮水型氟砷中毒、饮茶型地氟病和水源性高碘危害；到</w:t>
      </w:r>
      <w:r>
        <w:rPr>
          <w:rFonts w:hint="default" w:ascii="Times New Roman" w:hAnsi="Times New Roman" w:eastAsia="Times New Roman"/>
          <w:color w:val="auto"/>
          <w:sz w:val="32"/>
          <w:lang w:val="en-US"/>
        </w:rPr>
        <w:t>2030</w:t>
      </w:r>
      <w:r>
        <w:rPr>
          <w:rFonts w:hint="eastAsia" w:ascii="宋体" w:hAnsi="宋体"/>
          <w:color w:val="auto"/>
          <w:sz w:val="32"/>
          <w:lang w:val="zh-CN"/>
        </w:rPr>
        <w:t>年保持控制和消除重点地方病，地方病不再成为危害人民健康的重点问题。</w:t>
      </w:r>
    </w:p>
    <w:p>
      <w:pPr>
        <w:spacing w:beforeLines="0" w:afterLines="0" w:line="600" w:lineRule="atLeast"/>
        <w:ind w:firstLine="640"/>
        <w:rPr>
          <w:rFonts w:hint="default" w:ascii="Times New Roman" w:hAnsi="Times New Roman" w:eastAsia="Times New Roman"/>
          <w:color w:val="auto"/>
          <w:sz w:val="32"/>
          <w:lang w:val="en-US"/>
        </w:rPr>
      </w:pPr>
      <w:r>
        <w:rPr>
          <w:rFonts w:hint="eastAsia" w:ascii="宋体" w:hAnsi="宋体"/>
          <w:color w:val="auto"/>
          <w:sz w:val="32"/>
          <w:lang w:val="zh-CN"/>
        </w:rPr>
        <w:t>提倡负责任和安全的性行为，鼓励使用安全套；咳嗽、打喷嚏时用胳膊或纸巾掩口鼻，正确、文明吐痰；充分认识疫苗对预防疾病的重要作用，积极接种疫苗。</w:t>
      </w:r>
    </w:p>
    <w:p>
      <w:pPr>
        <w:spacing w:beforeLines="0" w:afterLines="0" w:line="600" w:lineRule="atLeast"/>
        <w:ind w:firstLine="643"/>
        <w:rPr>
          <w:rFonts w:hint="default" w:ascii="Times New Roman" w:hAnsi="Times New Roman" w:eastAsia="Times New Roman"/>
          <w:b/>
          <w:color w:val="auto"/>
          <w:sz w:val="32"/>
          <w:lang w:val="en-US"/>
        </w:rPr>
      </w:pPr>
      <w:r>
        <w:rPr>
          <w:rFonts w:hint="default" w:ascii="宋体" w:hAnsi="宋体"/>
          <w:b/>
          <w:color w:val="auto"/>
          <w:sz w:val="32"/>
          <w:lang w:val="zh-CN"/>
        </w:rPr>
        <w:t>——</w:t>
      </w:r>
      <w:r>
        <w:rPr>
          <w:rFonts w:hint="eastAsia" w:ascii="宋体" w:hAnsi="宋体"/>
          <w:b/>
          <w:color w:val="auto"/>
          <w:sz w:val="32"/>
          <w:lang w:val="zh-CN"/>
        </w:rPr>
        <w:t>个人：</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1.</w:t>
      </w:r>
      <w:r>
        <w:rPr>
          <w:rFonts w:hint="eastAsia" w:ascii="宋体" w:hAnsi="宋体"/>
          <w:color w:val="auto"/>
          <w:sz w:val="32"/>
          <w:lang w:val="zh-CN"/>
        </w:rPr>
        <w:t>提高自我防范意识。主动了解艾滋病、乙肝、丙肝的危害、防治知识和相关政策，抵制卖淫嫖娼、聚众淫乱、吸食毒品等违法犯罪行为，避免和减少易感染艾滋病、乙肝、丙肝的危险行为，不共用针头和针具、剃须刀和牙刷，忠诚于性伴侣，提倡负责任和安全的性行为，鼓励使用安全套。积极参与防治宣传活动，发生易感染危险行为后主动检测，不歧视感染者和患者。</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2.</w:t>
      </w:r>
      <w:r>
        <w:rPr>
          <w:rFonts w:hint="eastAsia" w:ascii="宋体" w:hAnsi="宋体"/>
          <w:color w:val="auto"/>
          <w:sz w:val="32"/>
          <w:lang w:val="zh-CN"/>
        </w:rPr>
        <w:t>充分认识疫苗对于预防疾病的重要作用。接种乙肝疫苗是预防乙肝最安全有效的措施，医务人员、经常接触血液的人员、托幼机构工作人员、乙肝病毒表面抗原携带者的家庭成员、男性同性恋或有多个性伴侣者和静脉内注射毒品者等，建议接种乙肝疫苗。乙肝病毒表面抗原携带者母亲生育的婴儿，建议在出生</w:t>
      </w:r>
      <w:r>
        <w:rPr>
          <w:rFonts w:hint="default" w:ascii="Times New Roman" w:hAnsi="Times New Roman" w:eastAsia="Times New Roman"/>
          <w:color w:val="auto"/>
          <w:sz w:val="32"/>
          <w:lang w:val="en-US"/>
        </w:rPr>
        <w:t>24</w:t>
      </w:r>
      <w:r>
        <w:rPr>
          <w:rFonts w:hint="eastAsia" w:ascii="宋体" w:hAnsi="宋体"/>
          <w:color w:val="auto"/>
          <w:sz w:val="32"/>
          <w:lang w:val="zh-CN"/>
        </w:rPr>
        <w:t>小时内（越早越好）接受乙肝免疫球蛋白和乙肝疫苗联合免疫，阻断母婴传播。注意饮食和饮水卫生，可预防甲肝和戊肝病毒感染。</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3.</w:t>
      </w:r>
      <w:r>
        <w:rPr>
          <w:rFonts w:hint="eastAsia" w:ascii="宋体" w:hAnsi="宋体"/>
          <w:color w:val="auto"/>
          <w:sz w:val="32"/>
          <w:lang w:val="zh-CN"/>
        </w:rPr>
        <w:t>养成良好的卫生习惯。咳嗽、打喷嚏时用胳膊或纸巾掩口鼻，正确、文明吐痰。出现咳嗽、咳痰</w:t>
      </w:r>
      <w:r>
        <w:rPr>
          <w:rFonts w:hint="default" w:ascii="Times New Roman" w:hAnsi="Times New Roman" w:eastAsia="Times New Roman"/>
          <w:color w:val="auto"/>
          <w:sz w:val="32"/>
          <w:lang w:val="en-US"/>
        </w:rPr>
        <w:t>2</w:t>
      </w:r>
      <w:r>
        <w:rPr>
          <w:rFonts w:hint="eastAsia" w:ascii="宋体" w:hAnsi="宋体"/>
          <w:color w:val="auto"/>
          <w:sz w:val="32"/>
          <w:lang w:val="zh-CN"/>
        </w:rPr>
        <w:t>周以上，或痰中带血等可疑症状时要及时到结核病定点医疗机构就诊。 结核病患者要遵医嘱，坚持规律、全程、按时服药，坚持规范治疗后大多数可以治愈。家中有传染性肺结核患者时应采取适当的隔离措施。 传染期肺结核患者应尽量避免去公共场所，外出时必须佩戴口罩，避免乘坐密闭交通工具。与传染性肺结核患者接触，或出入有较高传染风险的场所（如医院、结核科门诊等）时，建议佩戴医用防护口罩。</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4.</w:t>
      </w:r>
      <w:r>
        <w:rPr>
          <w:rFonts w:hint="eastAsia" w:ascii="宋体" w:hAnsi="宋体"/>
          <w:color w:val="auto"/>
          <w:sz w:val="32"/>
          <w:lang w:val="zh-CN"/>
        </w:rPr>
        <w:t>儿童、老年人、慢性病患者的免疫力低、抵抗力弱，是流感的高危人群，建议在流感流行季节前在医生的指导下接种流感疫苗。</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5.</w:t>
      </w:r>
      <w:r>
        <w:rPr>
          <w:rFonts w:hint="eastAsia" w:ascii="宋体" w:hAnsi="宋体"/>
          <w:color w:val="auto"/>
          <w:sz w:val="32"/>
          <w:lang w:val="zh-CN"/>
        </w:rPr>
        <w:t>饲养者应为犬、猫接种兽用狂犬病疫苗，带犬外出时，要使用犬链或给犬戴上笼嘴，防止咬伤他人。被犬、猫抓伤或咬伤后，应当立即冲洗伤口，并在医生的指导下尽快注射抗狂犬病免疫球蛋白（或血清）和人用狂犬病疫苗。</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6.</w:t>
      </w:r>
      <w:r>
        <w:rPr>
          <w:rFonts w:hint="eastAsia" w:ascii="宋体" w:hAnsi="宋体"/>
          <w:color w:val="auto"/>
          <w:sz w:val="32"/>
          <w:lang w:val="zh-CN"/>
        </w:rPr>
        <w:t>接触禽畜后要洗手。不与病畜、病禽接触。不加工、不食用病死禽畜，或未经卫生检疫合格的禽畜肉。动物源性传染病病区内不吃生的或未煮熟煮透的禽畜肉，不食用野生动物。发现病死禽畜要及时向畜牧部门报告，并按照要求妥善处理。</w:t>
      </w:r>
    </w:p>
    <w:p>
      <w:pPr>
        <w:tabs>
          <w:tab w:val="left" w:pos="8662"/>
        </w:tabs>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7.</w:t>
      </w:r>
      <w:r>
        <w:rPr>
          <w:rFonts w:hint="eastAsia" w:ascii="宋体" w:hAnsi="宋体"/>
          <w:color w:val="auto"/>
          <w:sz w:val="32"/>
          <w:lang w:val="zh-CN"/>
        </w:rPr>
        <w:t>讲究个人卫生，做好防护。包虫病流行区居民要做到饭前洗手，家犬定期驱虫，犬粪深埋或焚烧进行无害化处理，染病牲畜内脏深埋不随意丢弃，防止其他动物进食；屠宰人员不随意丢弃牲畜内脏、不用生鲜内脏喂犬。血吸虫病流行区居民避免接触疫水，渔船民下水前做好防护措施；肝吸虫病流行区居民不生食或半生食鱼类、螺类和肉类，不用未经无害化处理的粪便喂鱼和施肥。钩虫病流行区居民避免赤足下水下田，加强防护。黑热病流行区居民使用药浸或长效蚊帐，安装纱门纱窗，减少人蛉接触，防止被叮咬。</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8.</w:t>
      </w:r>
      <w:r>
        <w:rPr>
          <w:rFonts w:hint="eastAsia" w:ascii="宋体" w:hAnsi="宋体"/>
          <w:color w:val="auto"/>
          <w:sz w:val="32"/>
          <w:lang w:val="zh-CN"/>
        </w:rPr>
        <w:t>远离疾病。建议大骨节病病区居民尽量购买商品粮，不食用自产粮。建议克山病病区居民养成平衡膳食习惯，碘缺乏地区居民食用碘盐，牧区居民饮用低氟砖茶。建议饮水型氟砷中毒地区居民饮用改水后的合格水，做好自家管道维护；燃煤污染型氟砷中毒地区居民要尽量使用清洁能源或改良炉灶。</w:t>
      </w:r>
    </w:p>
    <w:p>
      <w:pPr>
        <w:spacing w:beforeLines="0" w:afterLines="0" w:line="600" w:lineRule="atLeast"/>
        <w:ind w:firstLine="643"/>
        <w:rPr>
          <w:rFonts w:hint="default" w:ascii="Times New Roman" w:hAnsi="Times New Roman" w:eastAsia="Times New Roman"/>
          <w:b/>
          <w:color w:val="auto"/>
          <w:sz w:val="32"/>
          <w:lang w:val="en-US"/>
        </w:rPr>
      </w:pPr>
      <w:r>
        <w:rPr>
          <w:rFonts w:hint="default" w:ascii="宋体" w:hAnsi="宋体"/>
          <w:b/>
          <w:color w:val="auto"/>
          <w:sz w:val="32"/>
          <w:lang w:val="zh-CN"/>
        </w:rPr>
        <w:t>——</w:t>
      </w:r>
      <w:r>
        <w:rPr>
          <w:rFonts w:hint="eastAsia" w:ascii="宋体" w:hAnsi="宋体"/>
          <w:b/>
          <w:color w:val="auto"/>
          <w:sz w:val="32"/>
          <w:lang w:val="zh-CN"/>
        </w:rPr>
        <w:t>社会和政府：</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1.</w:t>
      </w:r>
      <w:r>
        <w:rPr>
          <w:rFonts w:hint="eastAsia" w:ascii="宋体" w:hAnsi="宋体"/>
          <w:color w:val="auto"/>
          <w:sz w:val="32"/>
          <w:lang w:val="zh-CN"/>
        </w:rPr>
        <w:t>动员社会各界参与艾滋病防治工作，支持社会团体、企业、基金会、有关组织和志愿者开展艾滋病防治宣传、感染者扶贫救助等公益活动，鼓励和支持对易感艾滋病危险行为人群开展动员检测和综合干预、感染者关怀救助等工作。（卫生健康委牵头，中央宣传部、民政部、财政部、中医药局、全国总工会、共青团中央、全国妇联、中国红十字会总会、全国工商联等按职责分工负责）</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2.</w:t>
      </w:r>
      <w:r>
        <w:rPr>
          <w:rFonts w:hint="eastAsia" w:ascii="宋体" w:hAnsi="宋体"/>
          <w:color w:val="auto"/>
          <w:sz w:val="32"/>
          <w:lang w:val="zh-CN"/>
        </w:rPr>
        <w:t>落实血站血液艾滋病病毒、乙肝病毒、丙肝病毒核酸检测全覆盖，落实预防艾滋病、梅毒和乙肝母婴传播措施全覆盖，落实感染者救治救助政策。综合提高预防艾滋病宣传教育的针对性，提高综合干预的实效性，提高检测咨询的可及性和随访服务的规范性。（卫生健康委牵头，中央宣传部、中央政法委、中央网信办、发展改革委、教育部、工业和信息化部、公安部、民政部、司法部、财政部、交通运输部、农业农村部、文化和旅游部、海关总署、广电总局、药监局等按职责分工负责）</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3.</w:t>
      </w:r>
      <w:r>
        <w:rPr>
          <w:rFonts w:hint="eastAsia" w:ascii="宋体" w:hAnsi="宋体"/>
          <w:color w:val="auto"/>
          <w:sz w:val="32"/>
          <w:lang w:val="zh-CN"/>
        </w:rPr>
        <w:t>全面实施病毒性肝炎各项防治措施，控制病毒性肝炎及其相关肝癌、肝硬化死亡上升趋势。鼓励有条件的地区对医务人员、经常接触血液的人员、托幼机构工作人员、乙型肝炎病毒表面抗原携带者家庭成员等高风险人群开展乙型肝炎疫苗接种，为食品生产经营从业人员、托幼机构工作人员、集体生活人员等易传播甲型肝炎病毒的重点人群接种甲型肝炎疫苗。（卫生健康委牵头，市场监管总局、药监局按职责负责）</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4.</w:t>
      </w:r>
      <w:r>
        <w:rPr>
          <w:rFonts w:hint="eastAsia" w:ascii="宋体" w:hAnsi="宋体"/>
          <w:color w:val="auto"/>
          <w:sz w:val="32"/>
          <w:lang w:val="zh-CN"/>
        </w:rPr>
        <w:t>加大重点地区以及学生、老年人、贫困人口等重点人群的筛查力度，强化耐药筛查工作，及时发现结核病患者。实施结核病规范化治疗，提高诊疗水平。加强基层医疗卫生机构结核病患者全疗程健康管理服务。落实结核病救治保障政策。（卫生健康委牵头，教育部、医保局、国务院扶贫办按职责分工负责）</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5.</w:t>
      </w:r>
      <w:r>
        <w:rPr>
          <w:rFonts w:hint="eastAsia" w:ascii="宋体" w:hAnsi="宋体"/>
          <w:color w:val="auto"/>
          <w:sz w:val="32"/>
          <w:lang w:val="zh-CN"/>
        </w:rPr>
        <w:t>持续开展流感监测和疫情研判，掌握流感病毒活动水平及流行动态，及时发布预警信息。鼓励有条件地区为</w:t>
      </w:r>
      <w:r>
        <w:rPr>
          <w:rFonts w:hint="default" w:ascii="Times New Roman" w:hAnsi="Times New Roman" w:eastAsia="Times New Roman"/>
          <w:color w:val="auto"/>
          <w:sz w:val="32"/>
          <w:lang w:val="en-US"/>
        </w:rPr>
        <w:t>60</w:t>
      </w:r>
      <w:r>
        <w:rPr>
          <w:rFonts w:hint="eastAsia" w:ascii="宋体" w:hAnsi="宋体"/>
          <w:color w:val="auto"/>
          <w:sz w:val="32"/>
          <w:lang w:val="zh-CN"/>
        </w:rPr>
        <w:t>岁及以上户籍老人、托幼机构幼儿、在校中小学生和中等专业学校学生免费接种流感疫苗。保障流感疫苗供应。（卫生健康委牵头，教育部、工业和信息化部、药监局按职责分工负责）</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6.</w:t>
      </w:r>
      <w:r>
        <w:rPr>
          <w:rFonts w:hint="eastAsia" w:ascii="宋体" w:hAnsi="宋体"/>
          <w:color w:val="auto"/>
          <w:sz w:val="32"/>
          <w:lang w:val="zh-CN"/>
        </w:rPr>
        <w:t>开展寄生虫病综合防控工作，加强环境卫生治理，降低农村寄生虫病流行区域人群感染率。在血吸虫病流行区坚持以控制传染源为主的防治策略，强化传染源管控关键措施，落实有螺环境禁牧，在血吸虫病流行区推广、建设无害化厕所和船舶粪便收容器，统筹综合治理阻断措施，压缩钉螺面积，结合河长制湖长制工作严控涉河湖畜禽养殖污染。（卫生健康委牵头，自然资源部、水利部、农业农村部、林草局按职责分工负责）</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7.</w:t>
      </w:r>
      <w:r>
        <w:rPr>
          <w:rFonts w:hint="eastAsia" w:ascii="宋体" w:hAnsi="宋体"/>
          <w:color w:val="auto"/>
          <w:sz w:val="32"/>
          <w:lang w:val="zh-CN"/>
        </w:rPr>
        <w:t>完善犬只登记管理，加强对宠物饲养者责任约束，提升兽用狂犬病疫苗注射覆盖率。在包虫病流行区域，全面推行家犬拴养，定期开展犬驱虫，做好犬粪深埋、焚烧等无害化处理。开展包虫病人群筛查，对患者给予药物或手术治疗。逐步实行牲畜定点屠宰，加强对屠宰场（点）屠宰家畜的检验检疫，做好病变脏器的无害化处理。（公安部、住房城乡建设部、农业农村部、卫生健康委按职责分工负责）</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8.</w:t>
      </w:r>
      <w:r>
        <w:rPr>
          <w:rFonts w:hint="eastAsia" w:ascii="宋体" w:hAnsi="宋体"/>
          <w:color w:val="auto"/>
          <w:sz w:val="32"/>
          <w:lang w:val="zh-CN"/>
        </w:rPr>
        <w:t>对饮水型氟砷中毒高发地区，完成改水工程建设；对居住分散、改水成本高的，可结合脱贫攻坚进行搬迁。对饮茶型地氟病高发地区，支持地方政府采取定点生产、财政补贴等措施，降低低氟砖茶价格，推广低氟砖茶。对燃煤型氟砷中毒高发地区，在有条件的地方推广清洁能源，不燃用高氟（砷）的煤，引导群众进行改炉改灶并使用改良炉灶。（国家民委、生态环境部、水利部、卫生健康委、市场监管总局等按职责分工负责）</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9.</w:t>
      </w:r>
      <w:r>
        <w:rPr>
          <w:rFonts w:hint="eastAsia" w:ascii="宋体" w:hAnsi="宋体"/>
          <w:color w:val="auto"/>
          <w:sz w:val="32"/>
          <w:lang w:val="zh-CN"/>
        </w:rPr>
        <w:t>对大骨节病高发地区，制定针对病区</w:t>
      </w:r>
      <w:r>
        <w:rPr>
          <w:rFonts w:hint="default" w:ascii="Times New Roman" w:hAnsi="Times New Roman" w:eastAsia="Times New Roman"/>
          <w:color w:val="auto"/>
          <w:sz w:val="32"/>
          <w:lang w:val="en-US"/>
        </w:rPr>
        <w:t>2</w:t>
      </w:r>
      <w:r>
        <w:rPr>
          <w:rFonts w:hint="eastAsia" w:ascii="宋体" w:hAnsi="宋体"/>
          <w:color w:val="auto"/>
          <w:sz w:val="32"/>
          <w:lang w:val="zh-CN"/>
        </w:rPr>
        <w:t>～</w:t>
      </w:r>
      <w:r>
        <w:rPr>
          <w:rFonts w:hint="default" w:ascii="Times New Roman" w:hAnsi="Times New Roman" w:eastAsia="Times New Roman"/>
          <w:color w:val="auto"/>
          <w:sz w:val="32"/>
          <w:lang w:val="en-US"/>
        </w:rPr>
        <w:t>6</w:t>
      </w:r>
      <w:r>
        <w:rPr>
          <w:rFonts w:hint="eastAsia" w:ascii="宋体" w:hAnsi="宋体"/>
          <w:color w:val="auto"/>
          <w:sz w:val="32"/>
          <w:lang w:val="zh-CN"/>
        </w:rPr>
        <w:t>岁儿童的专项营养及换粮政策，确保儿童食用非病区粮食。在尊重群众意愿的基础上，将仍有新发病例的病区村进行整体搬迁。（发展改革委、农业农村部、粮食和储备局、国务院扶贫办按职责分工负责）</w:t>
      </w:r>
    </w:p>
    <w:p>
      <w:pPr>
        <w:spacing w:beforeLines="0" w:afterLines="0" w:line="600" w:lineRule="atLeast"/>
        <w:ind w:firstLine="640"/>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10.</w:t>
      </w:r>
      <w:r>
        <w:rPr>
          <w:rFonts w:hint="eastAsia" w:ascii="宋体" w:hAnsi="宋体"/>
          <w:color w:val="auto"/>
          <w:sz w:val="32"/>
          <w:lang w:val="zh-CN"/>
        </w:rPr>
        <w:t>做好大骨节病、氟骨症等重症患者的救治帮扶，对于符合农村贫困人口条件的患者，按照健康扶贫有关政策要求，加强综合防治和分类救治。对大骨节病、氟骨症等患者进行残疾评定，将符合条件的纳入残疾保障范围和最低生活保障范围。（卫生健康委牵头，民政部、医保局、国务院扶贫办等按职责分工负责）</w:t>
      </w:r>
    </w:p>
    <w:p>
      <w:pPr>
        <w:spacing w:beforeLines="0" w:afterLines="0" w:line="600" w:lineRule="atLeast"/>
        <w:ind w:firstLine="640"/>
        <w:rPr>
          <w:rFonts w:hint="default" w:ascii="Times New Roman" w:hAnsi="Times New Roman" w:eastAsia="Times New Roman"/>
          <w:b/>
          <w:color w:val="auto"/>
          <w:sz w:val="32"/>
          <w:lang w:val="en-US"/>
        </w:rPr>
      </w:pPr>
      <w:r>
        <w:rPr>
          <w:rFonts w:hint="eastAsia" w:ascii="宋体" w:hAnsi="宋体"/>
          <w:color w:val="auto"/>
          <w:sz w:val="32"/>
          <w:lang w:val="zh-CN"/>
        </w:rPr>
        <w:t>四</w:t>
      </w:r>
      <w:r>
        <w:rPr>
          <w:rFonts w:hint="eastAsia" w:ascii="宋体" w:hAnsi="宋体"/>
          <w:b/>
          <w:color w:val="auto"/>
          <w:sz w:val="32"/>
          <w:lang w:val="zh-CN"/>
        </w:rPr>
        <w:t>、</w:t>
      </w:r>
      <w:r>
        <w:rPr>
          <w:rFonts w:hint="eastAsia" w:ascii="宋体" w:hAnsi="宋体"/>
          <w:color w:val="auto"/>
          <w:sz w:val="32"/>
          <w:lang w:val="zh-CN"/>
        </w:rPr>
        <w:t>保障措施</w:t>
      </w:r>
    </w:p>
    <w:p>
      <w:pPr>
        <w:spacing w:beforeLines="0" w:afterLines="0" w:line="600" w:lineRule="atLeast"/>
        <w:ind w:firstLine="643"/>
        <w:rPr>
          <w:rFonts w:hint="default" w:ascii="Times New Roman" w:hAnsi="Times New Roman" w:eastAsia="Times New Roman"/>
          <w:color w:val="auto"/>
          <w:sz w:val="32"/>
          <w:lang w:val="en-US"/>
        </w:rPr>
      </w:pPr>
      <w:r>
        <w:rPr>
          <w:rFonts w:hint="eastAsia" w:ascii="宋体" w:hAnsi="宋体"/>
          <w:b/>
          <w:color w:val="auto"/>
          <w:sz w:val="32"/>
          <w:lang w:val="zh-CN"/>
        </w:rPr>
        <w:t>（一）加强组织领导。</w:t>
      </w:r>
      <w:r>
        <w:rPr>
          <w:rFonts w:hint="eastAsia" w:ascii="宋体" w:hAnsi="宋体"/>
          <w:color w:val="auto"/>
          <w:sz w:val="32"/>
          <w:lang w:val="zh-CN"/>
        </w:rPr>
        <w:t>健康中国行动推进委员会（以下简称推进委员会）负责《健康中国行动》的组织实施，统筹政府、社会、个人参与健康中国行动，协调全局性工作，指导各地根据本地实际情况研究制定具体行动方案，研究确定年度工作重点并协调落实，组织开展行动监测评估和考核评价，下设专项行动工作组负责推动落实有关任务。各相关部门通力合作、各负其责。各省（区、市）要将落实本行动纳入重要议事日程，健全领导体制和工作机制，针对本地区威胁居民健康的主要健康问题，研究制定具体行动方案，分阶段、分步骤组织实施，确保各项工作目标如期实现。推动将健康融入所有政策，巩固提升卫生城镇创建，推进健康城市、健康村镇建设，并建成一批示范市（乡村），开展全民运动健身模范市（县）评选，有效整合资源，形成工作合力，确保行动实效。（卫生健康委牵头，教育部、体育总局等按职责分工负责，各省级人民政府分别负责）</w:t>
      </w:r>
    </w:p>
    <w:p>
      <w:pPr>
        <w:spacing w:beforeLines="0" w:afterLines="0" w:line="600" w:lineRule="atLeast"/>
        <w:ind w:firstLine="643"/>
        <w:rPr>
          <w:rFonts w:hint="default" w:ascii="Times New Roman" w:hAnsi="Times New Roman" w:eastAsia="Times New Roman"/>
          <w:color w:val="auto"/>
          <w:sz w:val="32"/>
          <w:lang w:val="en-US"/>
        </w:rPr>
      </w:pPr>
      <w:r>
        <w:rPr>
          <w:rFonts w:hint="eastAsia" w:ascii="宋体" w:hAnsi="宋体"/>
          <w:b/>
          <w:color w:val="auto"/>
          <w:sz w:val="32"/>
          <w:lang w:val="zh-CN"/>
        </w:rPr>
        <w:t>（二）开展监测评估。</w:t>
      </w:r>
      <w:r>
        <w:rPr>
          <w:rFonts w:hint="eastAsia" w:ascii="宋体" w:hAnsi="宋体"/>
          <w:color w:val="auto"/>
          <w:sz w:val="32"/>
          <w:lang w:val="zh-CN"/>
        </w:rPr>
        <w:t>监测评估工作由推进委员会统筹领导，各专项行动工作组负责具体组织实施。在推进委员会的领导下，各专项行动工作组围绕行动提出的目标指标和行动举措，健全指标体系，制定监测评估工作方案。以现有统计数据为基础，完善监测评估体系，依托互联网和大数据，发挥第三方组织作用，对主要倡导性指标和预期性指标、重点任务的实施进度和效果进行年度监测评估。各专项行动工作组根据监测情况每年形成各专项行动实施进展专题报告，推进委员会办公室发挥第三方组织作用，形成总体监测评估报告，经推进委员会同意后上报国务院并通报各有关部门和各省（区、市）党委、政府。在监测评估基础上，适时发布监测评估报告。各省（区、市）按要求开展本地区监测评估。（卫生健康委牵头，财政部、统计局等按职责分工负责，各省级人民政府分别负责）</w:t>
      </w:r>
    </w:p>
    <w:p>
      <w:pPr>
        <w:spacing w:beforeLines="0" w:afterLines="0" w:line="600" w:lineRule="atLeast"/>
        <w:ind w:firstLine="643"/>
        <w:rPr>
          <w:rFonts w:hint="default" w:ascii="Times New Roman" w:hAnsi="Times New Roman" w:eastAsia="Times New Roman"/>
          <w:color w:val="auto"/>
          <w:sz w:val="32"/>
          <w:lang w:val="en-US"/>
        </w:rPr>
      </w:pPr>
      <w:r>
        <w:rPr>
          <w:rFonts w:hint="eastAsia" w:ascii="宋体" w:hAnsi="宋体"/>
          <w:b/>
          <w:color w:val="auto"/>
          <w:sz w:val="32"/>
          <w:lang w:val="zh-CN"/>
        </w:rPr>
        <w:t>（三）建立绩效考核评价机制。</w:t>
      </w:r>
      <w:r>
        <w:rPr>
          <w:rFonts w:hint="eastAsia" w:ascii="宋体" w:hAnsi="宋体"/>
          <w:color w:val="auto"/>
          <w:sz w:val="32"/>
          <w:lang w:val="zh-CN"/>
        </w:rPr>
        <w:t>把《健康中国行动》实施情况作为健康中国建设国家总体考核评价的重要内容，强化各地党委、政府和各有关部门的落实责任。建立督导制度，每年开展一次专项督导。针对主要指标和重要任务，制定考核评价办法，强化对约束性指标的年度考核。建立考核问责机制，对各地区、各部门、各单位等的落实情况进行考核评价，把考评结果作为对各地区、各相关部门绩效考核的重要依据。对考评结果好的地区和部门，予以通报表扬并按照有关规定给予适当奖励；对进度滞后、工作不力的地区和部门，及时约谈并督促整改。各相关责任部门每半年向推进委员会报告工作进展。充分调动社会组织、企业的积极性，发挥行业协（学）会作用，做好专项调查，探索建立第三方考核评价机制。（中央组织部、财政部、卫生健康委等按职责分工负责，各省级人民政府分别负责）</w:t>
      </w:r>
    </w:p>
    <w:p>
      <w:pPr>
        <w:spacing w:beforeLines="0" w:afterLines="0" w:line="600" w:lineRule="atLeast"/>
        <w:ind w:firstLine="643"/>
        <w:rPr>
          <w:rFonts w:hint="default" w:ascii="Times New Roman" w:hAnsi="Times New Roman" w:eastAsia="Times New Roman"/>
          <w:color w:val="auto"/>
          <w:sz w:val="32"/>
          <w:lang w:val="en-US"/>
        </w:rPr>
      </w:pPr>
      <w:r>
        <w:rPr>
          <w:rFonts w:hint="eastAsia" w:ascii="宋体" w:hAnsi="宋体"/>
          <w:b/>
          <w:color w:val="auto"/>
          <w:sz w:val="32"/>
          <w:lang w:val="zh-CN"/>
        </w:rPr>
        <w:t>（四）健全支撑体系。</w:t>
      </w:r>
      <w:r>
        <w:rPr>
          <w:rFonts w:hint="eastAsia" w:ascii="宋体" w:hAnsi="宋体"/>
          <w:color w:val="auto"/>
          <w:sz w:val="32"/>
          <w:lang w:val="zh-CN"/>
        </w:rPr>
        <w:t>在推进委员会的领导下，从相关领域遴选专家，成立国家专家咨询委员会，各省（区、市）成立省级专家咨询委员会，为行动实施提供技术支撑，及时提出行动调整建议，并完善相关指南和技术规范。医疗保障制度要坚持保基本原则，合理确定基本医保待遇标准，使保障水平与经济社会发展水平相适应。从治疗方案标准、评估指标明确的慢性病入手，开展特殊慢性病按人头付费，鼓励医疗机构做好健康管理。促进</w:t>
      </w:r>
      <w:r>
        <w:rPr>
          <w:rFonts w:hint="default" w:ascii="宋体" w:hAnsi="宋体"/>
          <w:color w:val="auto"/>
          <w:sz w:val="32"/>
          <w:lang w:val="zh-CN"/>
        </w:rPr>
        <w:t>“</w:t>
      </w:r>
      <w:r>
        <w:rPr>
          <w:rFonts w:hint="eastAsia" w:ascii="宋体" w:hAnsi="宋体"/>
          <w:color w:val="auto"/>
          <w:sz w:val="32"/>
          <w:lang w:val="zh-CN"/>
        </w:rPr>
        <w:t>互联网</w:t>
      </w:r>
      <w:r>
        <w:rPr>
          <w:rFonts w:hint="default" w:ascii="Times New Roman" w:hAnsi="Times New Roman" w:eastAsia="Times New Roman"/>
          <w:color w:val="auto"/>
          <w:sz w:val="32"/>
          <w:lang w:val="en-US"/>
        </w:rPr>
        <w:t>+</w:t>
      </w:r>
      <w:r>
        <w:rPr>
          <w:rFonts w:hint="eastAsia" w:ascii="宋体" w:hAnsi="宋体"/>
          <w:color w:val="auto"/>
          <w:sz w:val="32"/>
          <w:lang w:val="zh-CN"/>
        </w:rPr>
        <w:t>医疗健康</w:t>
      </w:r>
      <w:r>
        <w:rPr>
          <w:rFonts w:hint="default" w:ascii="宋体" w:hAnsi="宋体"/>
          <w:color w:val="auto"/>
          <w:sz w:val="32"/>
          <w:lang w:val="zh-CN"/>
        </w:rPr>
        <w:t>”</w:t>
      </w:r>
      <w:r>
        <w:rPr>
          <w:rFonts w:hint="eastAsia" w:ascii="宋体" w:hAnsi="宋体"/>
          <w:color w:val="auto"/>
          <w:sz w:val="32"/>
          <w:lang w:val="zh-CN"/>
        </w:rPr>
        <w:t>发展，创新服务模式。加大政府投入力度，强化支持引导，确保行动落实到位。依托社会力量依法成立健康中国行动基金会，为行动重点工作实施提供支持。鼓励金融机构创新产品和服务，推动形成资金来源多元化的保障机制。针对行动实施中的关键技术，结合国家科技重大专项、重点研发计划，加强科技攻关，对各项行动给予支持；同步开展卫生技术评估，不断增强行动的科学性、有效性和经济性。完善相关法律法规体系，以法治保障健康中国建设任务落实和目标实现。（卫生健康委牵头，发展改革委、科技部、民政部、财政部、人民银行、医保局、银保监会、证监会等按职责分工负责，各省级人民政府分别负责）</w:t>
      </w:r>
    </w:p>
    <w:p>
      <w:pPr>
        <w:spacing w:beforeLines="0" w:afterLines="0" w:line="600" w:lineRule="atLeast"/>
        <w:ind w:firstLine="643"/>
        <w:rPr>
          <w:rFonts w:hint="default" w:ascii="Times New Roman" w:hAnsi="Times New Roman" w:eastAsia="Times New Roman"/>
          <w:color w:val="auto"/>
          <w:sz w:val="32"/>
          <w:lang w:val="en-US"/>
        </w:rPr>
      </w:pPr>
      <w:r>
        <w:rPr>
          <w:rFonts w:hint="eastAsia" w:ascii="宋体" w:hAnsi="宋体"/>
          <w:b/>
          <w:color w:val="auto"/>
          <w:sz w:val="32"/>
          <w:lang w:val="zh-CN"/>
        </w:rPr>
        <w:t>（五）加强宣传引导。</w:t>
      </w:r>
      <w:r>
        <w:rPr>
          <w:rFonts w:hint="eastAsia" w:ascii="宋体" w:hAnsi="宋体"/>
          <w:color w:val="auto"/>
          <w:sz w:val="32"/>
          <w:lang w:val="zh-CN"/>
        </w:rPr>
        <w:t>设立健康中国行动专题网站，大力宣传实施行动、促进全民健康的重大意义、目标任务和重大举措。各有关责任部门要根据本行动要求，编制群众喜闻乐见的解读材料和文艺作品，并以有效方式引导群众了解和掌握，推动个人践行健康生活方式。设立健康形象大使，评选一批</w:t>
      </w:r>
      <w:r>
        <w:rPr>
          <w:rFonts w:hint="default" w:ascii="宋体" w:hAnsi="宋体"/>
          <w:color w:val="auto"/>
          <w:sz w:val="32"/>
          <w:lang w:val="zh-CN"/>
        </w:rPr>
        <w:t>“</w:t>
      </w:r>
      <w:r>
        <w:rPr>
          <w:rFonts w:hint="eastAsia" w:ascii="宋体" w:hAnsi="宋体"/>
          <w:color w:val="auto"/>
          <w:sz w:val="32"/>
          <w:lang w:val="zh-CN"/>
        </w:rPr>
        <w:t>健康达人</w:t>
      </w:r>
      <w:r>
        <w:rPr>
          <w:rFonts w:hint="default" w:ascii="宋体" w:hAnsi="宋体"/>
          <w:color w:val="auto"/>
          <w:sz w:val="32"/>
          <w:lang w:val="zh-CN"/>
        </w:rPr>
        <w:t>”</w:t>
      </w:r>
      <w:r>
        <w:rPr>
          <w:rFonts w:hint="eastAsia" w:ascii="宋体" w:hAnsi="宋体"/>
          <w:color w:val="auto"/>
          <w:sz w:val="32"/>
          <w:lang w:val="zh-CN"/>
        </w:rPr>
        <w:t>，发挥形象大使和</w:t>
      </w:r>
      <w:r>
        <w:rPr>
          <w:rFonts w:hint="default" w:ascii="宋体" w:hAnsi="宋体"/>
          <w:color w:val="auto"/>
          <w:sz w:val="32"/>
          <w:lang w:val="zh-CN"/>
        </w:rPr>
        <w:t>“</w:t>
      </w:r>
      <w:r>
        <w:rPr>
          <w:rFonts w:hint="eastAsia" w:ascii="宋体" w:hAnsi="宋体"/>
          <w:color w:val="auto"/>
          <w:sz w:val="32"/>
          <w:lang w:val="zh-CN"/>
        </w:rPr>
        <w:t>健康达人</w:t>
      </w:r>
      <w:r>
        <w:rPr>
          <w:rFonts w:hint="default" w:ascii="宋体" w:hAnsi="宋体"/>
          <w:color w:val="auto"/>
          <w:sz w:val="32"/>
          <w:lang w:val="zh-CN"/>
        </w:rPr>
        <w:t>”</w:t>
      </w:r>
      <w:r>
        <w:rPr>
          <w:rFonts w:hint="eastAsia" w:ascii="宋体" w:hAnsi="宋体"/>
          <w:color w:val="auto"/>
          <w:sz w:val="32"/>
          <w:lang w:val="zh-CN"/>
        </w:rPr>
        <w:t>的示范引领作用。加强正面宣传、科学引导和典型报道，增强社会的普遍认知，营造良好的社会氛围。高度重视医疗卫生机构和医务人员在行动实施中的重要作用，完善培养培训、服务标准、绩效考核等制度，鼓励引导广大医务人员践行</w:t>
      </w:r>
      <w:r>
        <w:rPr>
          <w:rFonts w:hint="default" w:ascii="宋体" w:hAnsi="宋体"/>
          <w:color w:val="auto"/>
          <w:sz w:val="32"/>
          <w:lang w:val="zh-CN"/>
        </w:rPr>
        <w:t>“</w:t>
      </w:r>
      <w:r>
        <w:rPr>
          <w:rFonts w:hint="eastAsia" w:ascii="宋体" w:hAnsi="宋体"/>
          <w:color w:val="auto"/>
          <w:sz w:val="32"/>
          <w:lang w:val="zh-CN"/>
        </w:rPr>
        <w:t>大卫生、大健康</w:t>
      </w:r>
      <w:r>
        <w:rPr>
          <w:rFonts w:hint="default" w:ascii="宋体" w:hAnsi="宋体"/>
          <w:color w:val="auto"/>
          <w:sz w:val="32"/>
          <w:lang w:val="zh-CN"/>
        </w:rPr>
        <w:t>”</w:t>
      </w:r>
      <w:r>
        <w:rPr>
          <w:rFonts w:hint="eastAsia" w:ascii="宋体" w:hAnsi="宋体"/>
          <w:color w:val="auto"/>
          <w:sz w:val="32"/>
          <w:lang w:val="zh-CN"/>
        </w:rPr>
        <w:t>理念，做好健康促进与教育工作。（卫生健康委牵头，中央宣传部、中央网信办、广电总局、全国总工会、共青团中央、全国妇联等按职责分工负责）</w:t>
      </w:r>
      <w:r>
        <w:rPr>
          <w:rFonts w:hint="eastAsia" w:ascii="黑体" w:hAnsi="黑体" w:eastAsia="黑体"/>
          <w:color w:val="auto"/>
          <w:sz w:val="32"/>
          <w:lang w:val="zh-CN"/>
        </w:rPr>
        <w:t xml:space="preserve"> </w:t>
      </w:r>
    </w:p>
    <w:p>
      <w:pPr>
        <w:spacing w:beforeLines="0" w:afterLines="0" w:line="600" w:lineRule="atLeast"/>
        <w:ind w:firstLine="523"/>
        <w:rPr>
          <w:rFonts w:hint="default" w:ascii="??_GB2312" w:hAnsi="??_GB2312" w:eastAsia="??_GB2312"/>
          <w:color w:val="auto"/>
          <w:sz w:val="28"/>
          <w:lang w:val="en-US"/>
        </w:rPr>
      </w:pPr>
    </w:p>
    <w:p>
      <w:pPr>
        <w:spacing w:beforeLines="0" w:afterLines="0" w:line="600" w:lineRule="atLeast"/>
        <w:rPr>
          <w:rFonts w:hint="default" w:ascii="??_GB2312" w:hAnsi="??_GB2312" w:eastAsia="??_GB2312"/>
          <w:color w:val="auto"/>
          <w:sz w:val="28"/>
          <w:lang w:val="en-US"/>
        </w:rPr>
      </w:pPr>
    </w:p>
    <w:p>
      <w:pPr>
        <w:spacing w:beforeLines="0" w:afterLines="0" w:line="600" w:lineRule="atLeast"/>
        <w:rPr>
          <w:rFonts w:hint="default" w:ascii="Times New Roman" w:hAnsi="Times New Roman" w:eastAsia="Times New Roman"/>
          <w:color w:val="auto"/>
          <w:sz w:val="32"/>
          <w:lang w:val="en-US"/>
        </w:rPr>
      </w:pPr>
    </w:p>
    <w:p>
      <w:pPr>
        <w:spacing w:before="100" w:beforeLines="0" w:after="100" w:afterLines="0" w:line="600" w:lineRule="atLeast"/>
        <w:jc w:val="both"/>
        <w:rPr>
          <w:rFonts w:hint="eastAsia" w:ascii="宋体" w:hAnsi="宋体"/>
          <w:b/>
          <w:color w:val="auto"/>
          <w:sz w:val="44"/>
          <w:lang w:val="zh-CN"/>
        </w:rPr>
      </w:pPr>
      <w:bookmarkStart w:id="0" w:name="_GoBack"/>
      <w:bookmarkEnd w:id="0"/>
    </w:p>
    <w:p>
      <w:pPr>
        <w:spacing w:beforeLines="0" w:afterLines="0" w:line="600" w:lineRule="atLeast"/>
        <w:jc w:val="center"/>
        <w:rPr>
          <w:rFonts w:hint="eastAsia" w:ascii="宋体" w:hAnsi="宋体"/>
          <w:b/>
          <w:color w:val="auto"/>
          <w:sz w:val="44"/>
          <w:lang w:val="zh-CN"/>
        </w:rPr>
      </w:pPr>
      <w:r>
        <w:rPr>
          <w:rFonts w:hint="eastAsia" w:ascii="宋体" w:hAnsi="宋体"/>
          <w:b/>
          <w:color w:val="auto"/>
          <w:sz w:val="44"/>
          <w:lang w:val="zh-CN"/>
        </w:rPr>
        <w:t>国务院办公厅关于成立</w:t>
      </w:r>
    </w:p>
    <w:p>
      <w:pPr>
        <w:spacing w:beforeLines="0" w:afterLines="0" w:line="600" w:lineRule="atLeast"/>
        <w:jc w:val="center"/>
        <w:rPr>
          <w:rFonts w:hint="default" w:ascii="??_GB2312" w:hAnsi="??_GB2312" w:eastAsia="??_GB2312"/>
          <w:color w:val="auto"/>
          <w:sz w:val="32"/>
          <w:lang w:val="en-US"/>
        </w:rPr>
      </w:pPr>
      <w:r>
        <w:rPr>
          <w:rFonts w:hint="eastAsia" w:ascii="宋体" w:hAnsi="宋体"/>
          <w:b/>
          <w:color w:val="auto"/>
          <w:sz w:val="44"/>
          <w:lang w:val="zh-CN"/>
        </w:rPr>
        <w:t>健康中国行动推进委员会的通知</w:t>
      </w:r>
      <w:r>
        <w:rPr>
          <w:rFonts w:hint="eastAsia" w:ascii="仿宋" w:hAnsi="仿宋" w:eastAsia="仿宋"/>
          <w:color w:val="606060"/>
          <w:spacing w:val="6"/>
          <w:sz w:val="44"/>
          <w:lang w:val="zh-CN"/>
        </w:rPr>
        <w:br w:type="textWrapping"/>
      </w:r>
      <w:r>
        <w:rPr>
          <w:rFonts w:hint="eastAsia" w:ascii="宋体" w:hAnsi="宋体"/>
          <w:color w:val="auto"/>
          <w:sz w:val="32"/>
          <w:lang w:val="zh-CN"/>
        </w:rPr>
        <w:t>国办函〔</w:t>
      </w:r>
      <w:r>
        <w:rPr>
          <w:rFonts w:hint="default" w:ascii="??_GB2312" w:hAnsi="??_GB2312" w:eastAsia="??_GB2312"/>
          <w:color w:val="auto"/>
          <w:sz w:val="32"/>
          <w:lang w:val="en-US"/>
        </w:rPr>
        <w:t>2019</w:t>
      </w:r>
      <w:r>
        <w:rPr>
          <w:rFonts w:hint="eastAsia" w:ascii="宋体" w:hAnsi="宋体"/>
          <w:color w:val="auto"/>
          <w:sz w:val="32"/>
          <w:lang w:val="zh-CN"/>
        </w:rPr>
        <w:t>〕</w:t>
      </w:r>
      <w:r>
        <w:rPr>
          <w:rFonts w:hint="default" w:ascii="??_GB2312" w:hAnsi="??_GB2312" w:eastAsia="??_GB2312"/>
          <w:color w:val="auto"/>
          <w:sz w:val="32"/>
          <w:lang w:val="en-US"/>
        </w:rPr>
        <w:t>59</w:t>
      </w:r>
      <w:r>
        <w:rPr>
          <w:rFonts w:hint="eastAsia" w:ascii="宋体" w:hAnsi="宋体"/>
          <w:color w:val="auto"/>
          <w:sz w:val="32"/>
          <w:lang w:val="zh-CN"/>
        </w:rPr>
        <w:t>号</w:t>
      </w:r>
    </w:p>
    <w:p>
      <w:pPr>
        <w:spacing w:beforeLines="0" w:afterLines="0" w:line="600" w:lineRule="atLeast"/>
        <w:jc w:val="center"/>
        <w:rPr>
          <w:rFonts w:hint="eastAsia" w:ascii="宋体" w:hAnsi="宋体"/>
          <w:color w:val="auto"/>
          <w:sz w:val="44"/>
          <w:lang w:val="zh-CN"/>
        </w:rPr>
      </w:pPr>
    </w:p>
    <w:p>
      <w:pPr>
        <w:spacing w:beforeLines="0" w:afterLines="0" w:line="600" w:lineRule="atLeast"/>
        <w:rPr>
          <w:rFonts w:hint="default" w:ascii="??_GB2312" w:hAnsi="??_GB2312" w:eastAsia="??_GB2312"/>
          <w:color w:val="auto"/>
          <w:sz w:val="32"/>
          <w:lang w:val="en-US"/>
        </w:rPr>
      </w:pPr>
      <w:r>
        <w:rPr>
          <w:rFonts w:hint="eastAsia" w:ascii="宋体" w:hAnsi="宋体"/>
          <w:color w:val="auto"/>
          <w:sz w:val="32"/>
          <w:lang w:val="zh-CN"/>
        </w:rPr>
        <w:t>各省、自治区、直辖市人民政府，国务院各部委、各直属机构：</w:t>
      </w:r>
    </w:p>
    <w:p>
      <w:pPr>
        <w:spacing w:beforeLines="0" w:afterLines="0" w:line="600" w:lineRule="atLeast"/>
        <w:ind w:firstLine="640"/>
        <w:rPr>
          <w:rFonts w:hint="default" w:ascii="??_GB2312" w:hAnsi="??_GB2312" w:eastAsia="??_GB2312"/>
          <w:color w:val="auto"/>
          <w:sz w:val="32"/>
          <w:lang w:val="en-US"/>
        </w:rPr>
      </w:pPr>
      <w:r>
        <w:rPr>
          <w:rFonts w:hint="eastAsia" w:ascii="宋体" w:hAnsi="宋体"/>
          <w:color w:val="auto"/>
          <w:sz w:val="32"/>
          <w:lang w:val="zh-CN"/>
        </w:rPr>
        <w:t>按照《国务院办公厅关于印发健康中国行动组织实施和考核方案的通知》（国办发〔</w:t>
      </w:r>
      <w:r>
        <w:rPr>
          <w:rFonts w:hint="default" w:ascii="??_GB2312" w:hAnsi="??_GB2312" w:eastAsia="??_GB2312"/>
          <w:color w:val="auto"/>
          <w:sz w:val="32"/>
          <w:lang w:val="en-US"/>
        </w:rPr>
        <w:t>2019</w:t>
      </w:r>
      <w:r>
        <w:rPr>
          <w:rFonts w:hint="eastAsia" w:ascii="宋体" w:hAnsi="宋体"/>
          <w:color w:val="auto"/>
          <w:sz w:val="32"/>
          <w:lang w:val="zh-CN"/>
        </w:rPr>
        <w:t>〕</w:t>
      </w:r>
      <w:r>
        <w:rPr>
          <w:rFonts w:hint="default" w:ascii="??_GB2312" w:hAnsi="??_GB2312" w:eastAsia="??_GB2312"/>
          <w:color w:val="auto"/>
          <w:sz w:val="32"/>
          <w:lang w:val="en-US"/>
        </w:rPr>
        <w:t>32</w:t>
      </w:r>
      <w:r>
        <w:rPr>
          <w:rFonts w:hint="eastAsia" w:ascii="宋体" w:hAnsi="宋体"/>
          <w:color w:val="auto"/>
          <w:sz w:val="32"/>
          <w:lang w:val="zh-CN"/>
        </w:rPr>
        <w:t>号）要求，国务院成立健康中国行动推进委员会（以下简称推进委员会）。现将有关事项通知如下：</w:t>
      </w:r>
    </w:p>
    <w:p>
      <w:pPr>
        <w:spacing w:beforeLines="0" w:afterLines="0" w:line="600" w:lineRule="atLeast"/>
        <w:ind w:firstLine="640"/>
        <w:rPr>
          <w:rFonts w:hint="eastAsia" w:ascii="黑体" w:hAnsi="黑体" w:eastAsia="黑体"/>
          <w:color w:val="auto"/>
          <w:sz w:val="32"/>
          <w:lang w:val="zh-CN"/>
        </w:rPr>
      </w:pPr>
      <w:r>
        <w:rPr>
          <w:rFonts w:hint="eastAsia" w:ascii="黑体" w:hAnsi="黑体" w:eastAsia="黑体"/>
          <w:color w:val="auto"/>
          <w:sz w:val="32"/>
          <w:lang w:val="zh-CN"/>
        </w:rPr>
        <w:t>一、主要职责</w:t>
      </w:r>
    </w:p>
    <w:p>
      <w:pPr>
        <w:spacing w:beforeLines="0" w:afterLines="0" w:line="600" w:lineRule="atLeast"/>
        <w:ind w:firstLine="640"/>
        <w:rPr>
          <w:rFonts w:hint="default" w:ascii="??_GB2312" w:hAnsi="??_GB2312" w:eastAsia="??_GB2312"/>
          <w:color w:val="auto"/>
          <w:sz w:val="32"/>
          <w:lang w:val="en-US"/>
        </w:rPr>
      </w:pPr>
      <w:r>
        <w:rPr>
          <w:rFonts w:hint="eastAsia" w:ascii="宋体" w:hAnsi="宋体"/>
          <w:color w:val="auto"/>
          <w:sz w:val="32"/>
          <w:lang w:val="zh-CN"/>
        </w:rPr>
        <w:t>统筹推进《健康中国行动（</w:t>
      </w:r>
      <w:r>
        <w:rPr>
          <w:rFonts w:hint="default" w:ascii="??_GB2312" w:hAnsi="??_GB2312" w:eastAsia="??_GB2312"/>
          <w:color w:val="auto"/>
          <w:sz w:val="32"/>
          <w:lang w:val="en-US"/>
        </w:rPr>
        <w:t>2019</w:t>
      </w:r>
      <w:r>
        <w:rPr>
          <w:rFonts w:hint="default" w:ascii="宋体" w:hAnsi="宋体"/>
          <w:color w:val="auto"/>
          <w:sz w:val="32"/>
          <w:lang w:val="zh-CN"/>
        </w:rPr>
        <w:t>—</w:t>
      </w:r>
      <w:r>
        <w:rPr>
          <w:rFonts w:hint="default" w:ascii="??_GB2312" w:hAnsi="??_GB2312" w:eastAsia="??_GB2312"/>
          <w:color w:val="auto"/>
          <w:sz w:val="32"/>
          <w:lang w:val="en-US"/>
        </w:rPr>
        <w:t>2030</w:t>
      </w:r>
      <w:r>
        <w:rPr>
          <w:rFonts w:hint="eastAsia" w:ascii="宋体" w:hAnsi="宋体"/>
          <w:color w:val="auto"/>
          <w:sz w:val="32"/>
          <w:lang w:val="zh-CN"/>
        </w:rPr>
        <w:t>年）》组织实施、监测和考核相关工作。按年度研究部署行动推进的重点任务，并协调推动各地区各相关部门工作落实。根据疾病谱变化及医学进步等情况，研究对健康教育和重大疾病预防、治疗、康复、健康促进等提出指导性意见，并适时调整指标、行动内容。完成党中央、国务院交办的其他事项。</w:t>
      </w:r>
    </w:p>
    <w:p>
      <w:pPr>
        <w:spacing w:beforeLines="0" w:afterLines="0" w:line="600" w:lineRule="atLeast"/>
        <w:ind w:firstLine="420"/>
        <w:rPr>
          <w:rFonts w:hint="eastAsia" w:ascii="黑体" w:hAnsi="黑体" w:eastAsia="黑体"/>
          <w:color w:val="auto"/>
          <w:sz w:val="32"/>
          <w:lang w:val="zh-CN"/>
        </w:rPr>
      </w:pPr>
      <w:r>
        <w:rPr>
          <w:rFonts w:hint="eastAsia" w:ascii="黑体" w:hAnsi="黑体" w:eastAsia="黑体"/>
          <w:color w:val="auto"/>
          <w:sz w:val="32"/>
          <w:lang w:val="zh-CN"/>
        </w:rPr>
        <w:t>二、组成人员</w:t>
      </w:r>
    </w:p>
    <w:p>
      <w:pPr>
        <w:spacing w:beforeLines="0" w:afterLines="0" w:line="600" w:lineRule="atLeast"/>
        <w:ind w:firstLine="640"/>
        <w:rPr>
          <w:rFonts w:hint="default" w:ascii="??_GB2312" w:hAnsi="??_GB2312" w:eastAsia="??_GB2312"/>
          <w:color w:val="auto"/>
          <w:sz w:val="32"/>
          <w:lang w:val="en-US"/>
        </w:rPr>
      </w:pPr>
      <w:r>
        <w:rPr>
          <w:rFonts w:hint="eastAsia" w:ascii="宋体" w:hAnsi="宋体"/>
          <w:color w:val="auto"/>
          <w:sz w:val="32"/>
          <w:lang w:val="zh-CN"/>
        </w:rPr>
        <w:t>主　任：孙春兰　　国务院副总理</w:t>
      </w:r>
    </w:p>
    <w:p>
      <w:pPr>
        <w:spacing w:beforeLines="0" w:afterLines="0" w:line="600" w:lineRule="atLeast"/>
        <w:ind w:firstLine="640"/>
        <w:rPr>
          <w:rFonts w:hint="default" w:ascii="??_GB2312" w:hAnsi="??_GB2312" w:eastAsia="??_GB2312"/>
          <w:color w:val="auto"/>
          <w:sz w:val="32"/>
          <w:lang w:val="en-US"/>
        </w:rPr>
      </w:pPr>
      <w:r>
        <w:rPr>
          <w:rFonts w:hint="eastAsia" w:ascii="宋体" w:hAnsi="宋体"/>
          <w:color w:val="auto"/>
          <w:sz w:val="32"/>
          <w:lang w:val="zh-CN"/>
        </w:rPr>
        <w:t>副主任：马晓伟　　卫生健康委主任</w:t>
      </w:r>
    </w:p>
    <w:p>
      <w:pPr>
        <w:spacing w:beforeLines="0" w:afterLines="0" w:line="600" w:lineRule="atLeast"/>
        <w:ind w:firstLine="1920"/>
        <w:rPr>
          <w:rFonts w:hint="default" w:ascii="??_GB2312" w:hAnsi="??_GB2312" w:eastAsia="??_GB2312"/>
          <w:color w:val="auto"/>
          <w:sz w:val="32"/>
          <w:lang w:val="en-US"/>
        </w:rPr>
      </w:pPr>
      <w:r>
        <w:rPr>
          <w:rFonts w:hint="eastAsia" w:ascii="宋体" w:hAnsi="宋体"/>
          <w:color w:val="auto"/>
          <w:sz w:val="32"/>
          <w:lang w:val="zh-CN"/>
        </w:rPr>
        <w:t>陈宝生　　教育部部长</w:t>
      </w:r>
    </w:p>
    <w:p>
      <w:pPr>
        <w:spacing w:beforeLines="0" w:afterLines="0" w:line="600" w:lineRule="atLeast"/>
        <w:ind w:firstLine="420"/>
        <w:rPr>
          <w:rFonts w:hint="default" w:ascii="??_GB2312" w:hAnsi="??_GB2312" w:eastAsia="??_GB2312"/>
          <w:color w:val="auto"/>
          <w:sz w:val="32"/>
          <w:lang w:val="en-US"/>
        </w:rPr>
      </w:pPr>
      <w:r>
        <w:rPr>
          <w:rFonts w:hint="eastAsia" w:ascii="宋体" w:hAnsi="宋体"/>
          <w:color w:val="auto"/>
          <w:sz w:val="32"/>
          <w:lang w:val="zh-CN"/>
        </w:rPr>
        <w:t>　　　　苟仲文　　体育总局局长</w:t>
      </w:r>
    </w:p>
    <w:p>
      <w:pPr>
        <w:spacing w:beforeLines="0" w:afterLines="0" w:line="600" w:lineRule="atLeast"/>
        <w:ind w:firstLine="420"/>
        <w:rPr>
          <w:rFonts w:hint="default" w:ascii="??_GB2312" w:hAnsi="??_GB2312" w:eastAsia="??_GB2312"/>
          <w:color w:val="auto"/>
          <w:sz w:val="32"/>
          <w:lang w:val="en-US"/>
        </w:rPr>
      </w:pPr>
      <w:r>
        <w:rPr>
          <w:rFonts w:hint="eastAsia" w:ascii="宋体" w:hAnsi="宋体"/>
          <w:color w:val="auto"/>
          <w:sz w:val="32"/>
          <w:lang w:val="zh-CN"/>
        </w:rPr>
        <w:t>　　　　丁向阳　　国务院副秘书长</w:t>
      </w:r>
    </w:p>
    <w:p>
      <w:pPr>
        <w:spacing w:beforeLines="0" w:afterLines="0" w:line="600" w:lineRule="atLeast"/>
        <w:ind w:firstLine="420"/>
        <w:rPr>
          <w:rFonts w:hint="default" w:ascii="??_GB2312" w:hAnsi="??_GB2312" w:eastAsia="??_GB2312"/>
          <w:color w:val="auto"/>
          <w:sz w:val="32"/>
          <w:lang w:val="en-US"/>
        </w:rPr>
      </w:pPr>
      <w:r>
        <w:rPr>
          <w:rFonts w:hint="eastAsia" w:ascii="宋体" w:hAnsi="宋体"/>
          <w:color w:val="auto"/>
          <w:sz w:val="32"/>
          <w:lang w:val="zh-CN"/>
        </w:rPr>
        <w:t>委　员：梁言顺　　中央宣传部副部长</w:t>
      </w:r>
    </w:p>
    <w:p>
      <w:pPr>
        <w:spacing w:beforeLines="0" w:afterLines="0" w:line="600" w:lineRule="atLeast"/>
        <w:ind w:firstLine="420"/>
        <w:rPr>
          <w:rFonts w:hint="default" w:ascii="??_GB2312" w:hAnsi="??_GB2312" w:eastAsia="??_GB2312"/>
          <w:color w:val="auto"/>
          <w:sz w:val="32"/>
          <w:lang w:val="en-US"/>
        </w:rPr>
      </w:pPr>
      <w:r>
        <w:rPr>
          <w:rFonts w:hint="eastAsia" w:ascii="宋体" w:hAnsi="宋体"/>
          <w:color w:val="auto"/>
          <w:sz w:val="32"/>
          <w:lang w:val="zh-CN"/>
        </w:rPr>
        <w:t>　　　　刘烈宏　　中央网信办副主任</w:t>
      </w:r>
    </w:p>
    <w:p>
      <w:pPr>
        <w:spacing w:beforeLines="0" w:afterLines="0" w:line="600" w:lineRule="atLeast"/>
        <w:ind w:firstLine="420"/>
        <w:rPr>
          <w:rFonts w:hint="default" w:ascii="??_GB2312" w:hAnsi="??_GB2312" w:eastAsia="??_GB2312"/>
          <w:color w:val="auto"/>
          <w:sz w:val="32"/>
          <w:lang w:val="en-US"/>
        </w:rPr>
      </w:pPr>
      <w:r>
        <w:rPr>
          <w:rFonts w:hint="eastAsia" w:ascii="宋体" w:hAnsi="宋体"/>
          <w:color w:val="auto"/>
          <w:sz w:val="32"/>
          <w:lang w:val="zh-CN"/>
        </w:rPr>
        <w:t>　　　　连维良　　发展改革委副主任</w:t>
      </w:r>
    </w:p>
    <w:p>
      <w:pPr>
        <w:spacing w:beforeLines="0" w:afterLines="0" w:line="600" w:lineRule="atLeast"/>
        <w:ind w:firstLine="420"/>
        <w:rPr>
          <w:rFonts w:hint="default" w:ascii="??_GB2312" w:hAnsi="??_GB2312" w:eastAsia="??_GB2312"/>
          <w:color w:val="auto"/>
          <w:sz w:val="32"/>
          <w:lang w:val="en-US"/>
        </w:rPr>
      </w:pPr>
      <w:r>
        <w:rPr>
          <w:rFonts w:hint="eastAsia" w:ascii="宋体" w:hAnsi="宋体"/>
          <w:color w:val="auto"/>
          <w:sz w:val="32"/>
          <w:lang w:val="zh-CN"/>
        </w:rPr>
        <w:t>　　　　钟登华　　教育部副部长</w:t>
      </w:r>
    </w:p>
    <w:p>
      <w:pPr>
        <w:spacing w:beforeLines="0" w:afterLines="0" w:line="600" w:lineRule="atLeast"/>
        <w:ind w:firstLine="420"/>
        <w:rPr>
          <w:rFonts w:hint="default" w:ascii="??_GB2312" w:hAnsi="??_GB2312" w:eastAsia="??_GB2312"/>
          <w:color w:val="auto"/>
          <w:sz w:val="32"/>
          <w:lang w:val="en-US"/>
        </w:rPr>
      </w:pPr>
      <w:r>
        <w:rPr>
          <w:rFonts w:hint="eastAsia" w:ascii="宋体" w:hAnsi="宋体"/>
          <w:color w:val="auto"/>
          <w:sz w:val="32"/>
          <w:lang w:val="zh-CN"/>
        </w:rPr>
        <w:t>　　　　徐南平　　科技部副部长</w:t>
      </w:r>
    </w:p>
    <w:p>
      <w:pPr>
        <w:spacing w:beforeLines="0" w:afterLines="0" w:line="600" w:lineRule="atLeast"/>
        <w:ind w:firstLine="420"/>
        <w:rPr>
          <w:rFonts w:hint="default" w:ascii="??_GB2312" w:hAnsi="??_GB2312" w:eastAsia="??_GB2312"/>
          <w:color w:val="auto"/>
          <w:sz w:val="32"/>
          <w:lang w:val="en-US"/>
        </w:rPr>
      </w:pPr>
      <w:r>
        <w:rPr>
          <w:rFonts w:hint="eastAsia" w:ascii="宋体" w:hAnsi="宋体"/>
          <w:color w:val="auto"/>
          <w:sz w:val="32"/>
          <w:lang w:val="zh-CN"/>
        </w:rPr>
        <w:t>　　　　王江平　　工业和信息化部副部长</w:t>
      </w:r>
    </w:p>
    <w:p>
      <w:pPr>
        <w:spacing w:beforeLines="0" w:afterLines="0" w:line="600" w:lineRule="atLeast"/>
        <w:ind w:firstLine="420"/>
        <w:rPr>
          <w:rFonts w:hint="default" w:ascii="??_GB2312" w:hAnsi="??_GB2312" w:eastAsia="??_GB2312"/>
          <w:color w:val="auto"/>
          <w:sz w:val="32"/>
          <w:lang w:val="en-US"/>
        </w:rPr>
      </w:pPr>
      <w:r>
        <w:rPr>
          <w:rFonts w:hint="eastAsia" w:ascii="宋体" w:hAnsi="宋体"/>
          <w:color w:val="auto"/>
          <w:sz w:val="32"/>
          <w:lang w:val="zh-CN"/>
        </w:rPr>
        <w:t>　　　　孙力军　　公安部副部长</w:t>
      </w:r>
    </w:p>
    <w:p>
      <w:pPr>
        <w:spacing w:beforeLines="0" w:afterLines="0" w:line="600" w:lineRule="atLeast"/>
        <w:ind w:firstLine="420"/>
        <w:rPr>
          <w:rFonts w:hint="default" w:ascii="??_GB2312" w:hAnsi="??_GB2312" w:eastAsia="??_GB2312"/>
          <w:color w:val="auto"/>
          <w:sz w:val="32"/>
          <w:lang w:val="en-US"/>
        </w:rPr>
      </w:pPr>
      <w:r>
        <w:rPr>
          <w:rFonts w:hint="eastAsia" w:ascii="宋体" w:hAnsi="宋体"/>
          <w:color w:val="auto"/>
          <w:sz w:val="32"/>
          <w:lang w:val="zh-CN"/>
        </w:rPr>
        <w:t>　　　　王爱文　　民政部副部长</w:t>
      </w:r>
    </w:p>
    <w:p>
      <w:pPr>
        <w:spacing w:beforeLines="0" w:afterLines="0" w:line="600" w:lineRule="atLeast"/>
        <w:ind w:firstLine="420"/>
        <w:rPr>
          <w:rFonts w:hint="default" w:ascii="??_GB2312" w:hAnsi="??_GB2312" w:eastAsia="??_GB2312"/>
          <w:color w:val="auto"/>
          <w:sz w:val="32"/>
          <w:lang w:val="en-US"/>
        </w:rPr>
      </w:pPr>
      <w:r>
        <w:rPr>
          <w:rFonts w:hint="eastAsia" w:ascii="宋体" w:hAnsi="宋体"/>
          <w:color w:val="auto"/>
          <w:sz w:val="32"/>
          <w:lang w:val="zh-CN"/>
        </w:rPr>
        <w:t>　　　　余蔚平　　财政部副部长</w:t>
      </w:r>
    </w:p>
    <w:p>
      <w:pPr>
        <w:spacing w:beforeLines="0" w:afterLines="0" w:line="600" w:lineRule="atLeast"/>
        <w:ind w:firstLine="420"/>
        <w:rPr>
          <w:rFonts w:hint="default" w:ascii="??_GB2312" w:hAnsi="??_GB2312" w:eastAsia="??_GB2312"/>
          <w:color w:val="auto"/>
          <w:sz w:val="32"/>
          <w:lang w:val="en-US"/>
        </w:rPr>
      </w:pPr>
      <w:r>
        <w:rPr>
          <w:rFonts w:hint="eastAsia" w:ascii="宋体" w:hAnsi="宋体"/>
          <w:color w:val="auto"/>
          <w:sz w:val="32"/>
          <w:lang w:val="zh-CN"/>
        </w:rPr>
        <w:t>　　　　游　钧　　人力资源社会保障部副部长</w:t>
      </w:r>
    </w:p>
    <w:p>
      <w:pPr>
        <w:spacing w:beforeLines="0" w:afterLines="0" w:line="600" w:lineRule="atLeast"/>
        <w:ind w:firstLine="420"/>
        <w:rPr>
          <w:rFonts w:hint="default" w:ascii="??_GB2312" w:hAnsi="??_GB2312" w:eastAsia="??_GB2312"/>
          <w:color w:val="auto"/>
          <w:sz w:val="32"/>
          <w:lang w:val="en-US"/>
        </w:rPr>
      </w:pPr>
      <w:r>
        <w:rPr>
          <w:rFonts w:hint="eastAsia" w:ascii="宋体" w:hAnsi="宋体"/>
          <w:color w:val="auto"/>
          <w:sz w:val="32"/>
          <w:lang w:val="zh-CN"/>
        </w:rPr>
        <w:t>　　　　王广华　　自然资源部副部长</w:t>
      </w:r>
    </w:p>
    <w:p>
      <w:pPr>
        <w:spacing w:beforeLines="0" w:afterLines="0" w:line="600" w:lineRule="atLeast"/>
        <w:ind w:firstLine="420"/>
        <w:rPr>
          <w:rFonts w:hint="default" w:ascii="??_GB2312" w:hAnsi="??_GB2312" w:eastAsia="??_GB2312"/>
          <w:color w:val="auto"/>
          <w:sz w:val="32"/>
          <w:lang w:val="en-US"/>
        </w:rPr>
      </w:pPr>
      <w:r>
        <w:rPr>
          <w:rFonts w:hint="eastAsia" w:ascii="宋体" w:hAnsi="宋体"/>
          <w:color w:val="auto"/>
          <w:sz w:val="32"/>
          <w:lang w:val="zh-CN"/>
        </w:rPr>
        <w:t>　　　　黄润秋　　生态环境部副部长</w:t>
      </w:r>
    </w:p>
    <w:p>
      <w:pPr>
        <w:spacing w:beforeLines="0" w:afterLines="0" w:line="600" w:lineRule="atLeast"/>
        <w:ind w:firstLine="420"/>
        <w:rPr>
          <w:rFonts w:hint="default" w:ascii="??_GB2312" w:hAnsi="??_GB2312" w:eastAsia="??_GB2312"/>
          <w:color w:val="auto"/>
          <w:sz w:val="32"/>
          <w:lang w:val="en-US"/>
        </w:rPr>
      </w:pPr>
      <w:r>
        <w:rPr>
          <w:rFonts w:hint="eastAsia" w:ascii="宋体" w:hAnsi="宋体"/>
          <w:color w:val="auto"/>
          <w:sz w:val="32"/>
          <w:lang w:val="zh-CN"/>
        </w:rPr>
        <w:t>　　　　黄　艳　　住房城乡建设部副部长</w:t>
      </w:r>
    </w:p>
    <w:p>
      <w:pPr>
        <w:spacing w:beforeLines="0" w:afterLines="0" w:line="600" w:lineRule="atLeast"/>
        <w:ind w:firstLine="420"/>
        <w:rPr>
          <w:rFonts w:hint="default" w:ascii="??_GB2312" w:hAnsi="??_GB2312" w:eastAsia="??_GB2312"/>
          <w:color w:val="auto"/>
          <w:sz w:val="32"/>
          <w:lang w:val="en-US"/>
        </w:rPr>
      </w:pPr>
      <w:r>
        <w:rPr>
          <w:rFonts w:hint="eastAsia" w:ascii="宋体" w:hAnsi="宋体"/>
          <w:color w:val="auto"/>
          <w:sz w:val="32"/>
          <w:lang w:val="zh-CN"/>
        </w:rPr>
        <w:t>　　　　刘小明　　交通运输部副部长</w:t>
      </w:r>
    </w:p>
    <w:p>
      <w:pPr>
        <w:spacing w:beforeLines="0" w:afterLines="0" w:line="600" w:lineRule="atLeast"/>
        <w:ind w:firstLine="420"/>
        <w:rPr>
          <w:rFonts w:hint="default" w:ascii="??_GB2312" w:hAnsi="??_GB2312" w:eastAsia="??_GB2312"/>
          <w:color w:val="auto"/>
          <w:sz w:val="32"/>
          <w:lang w:val="en-US"/>
        </w:rPr>
      </w:pPr>
      <w:r>
        <w:rPr>
          <w:rFonts w:hint="eastAsia" w:ascii="宋体" w:hAnsi="宋体"/>
          <w:color w:val="auto"/>
          <w:sz w:val="32"/>
          <w:lang w:val="zh-CN"/>
        </w:rPr>
        <w:t>　　　　田学斌　　水利部副部长</w:t>
      </w:r>
    </w:p>
    <w:p>
      <w:pPr>
        <w:spacing w:beforeLines="0" w:afterLines="0" w:line="600" w:lineRule="atLeast"/>
        <w:ind w:firstLine="420"/>
        <w:rPr>
          <w:rFonts w:hint="default" w:ascii="??_GB2312" w:hAnsi="??_GB2312" w:eastAsia="??_GB2312"/>
          <w:color w:val="auto"/>
          <w:sz w:val="32"/>
          <w:lang w:val="en-US"/>
        </w:rPr>
      </w:pPr>
      <w:r>
        <w:rPr>
          <w:rFonts w:hint="eastAsia" w:ascii="宋体" w:hAnsi="宋体"/>
          <w:color w:val="auto"/>
          <w:sz w:val="32"/>
          <w:lang w:val="zh-CN"/>
        </w:rPr>
        <w:t>　　　　吴宏耀　　农业农村部党组成员</w:t>
      </w:r>
    </w:p>
    <w:p>
      <w:pPr>
        <w:spacing w:beforeLines="0" w:afterLines="0" w:line="600" w:lineRule="atLeast"/>
        <w:ind w:firstLine="420"/>
        <w:rPr>
          <w:rFonts w:hint="default" w:ascii="??_GB2312" w:hAnsi="??_GB2312" w:eastAsia="??_GB2312"/>
          <w:color w:val="auto"/>
          <w:sz w:val="32"/>
          <w:lang w:val="en-US"/>
        </w:rPr>
      </w:pPr>
      <w:r>
        <w:rPr>
          <w:rFonts w:hint="eastAsia" w:ascii="宋体" w:hAnsi="宋体"/>
          <w:color w:val="auto"/>
          <w:sz w:val="32"/>
          <w:lang w:val="zh-CN"/>
        </w:rPr>
        <w:t>　　　　张　旭　　文化和旅游部副部长</w:t>
      </w:r>
    </w:p>
    <w:p>
      <w:pPr>
        <w:spacing w:beforeLines="0" w:afterLines="0" w:line="600" w:lineRule="atLeast"/>
        <w:ind w:firstLine="420"/>
        <w:rPr>
          <w:rFonts w:hint="default" w:ascii="??_GB2312" w:hAnsi="??_GB2312" w:eastAsia="??_GB2312"/>
          <w:color w:val="auto"/>
          <w:sz w:val="32"/>
          <w:lang w:val="en-US"/>
        </w:rPr>
      </w:pPr>
      <w:r>
        <w:rPr>
          <w:rFonts w:hint="eastAsia" w:ascii="宋体" w:hAnsi="宋体"/>
          <w:color w:val="auto"/>
          <w:sz w:val="32"/>
          <w:lang w:val="zh-CN"/>
        </w:rPr>
        <w:t>　　　　孙梅君　　市场监管总局副局长</w:t>
      </w:r>
    </w:p>
    <w:p>
      <w:pPr>
        <w:spacing w:beforeLines="0" w:afterLines="0" w:line="600" w:lineRule="atLeast"/>
        <w:ind w:firstLine="420"/>
        <w:rPr>
          <w:rFonts w:hint="default" w:ascii="??_GB2312" w:hAnsi="??_GB2312" w:eastAsia="??_GB2312"/>
          <w:color w:val="auto"/>
          <w:sz w:val="32"/>
          <w:lang w:val="en-US"/>
        </w:rPr>
      </w:pPr>
      <w:r>
        <w:rPr>
          <w:rFonts w:hint="eastAsia" w:ascii="宋体" w:hAnsi="宋体"/>
          <w:color w:val="auto"/>
          <w:sz w:val="32"/>
          <w:lang w:val="zh-CN"/>
        </w:rPr>
        <w:t>　　　　范卫平　　广电总局副局长</w:t>
      </w:r>
    </w:p>
    <w:p>
      <w:pPr>
        <w:spacing w:beforeLines="0" w:afterLines="0" w:line="600" w:lineRule="atLeast"/>
        <w:ind w:firstLine="420"/>
        <w:rPr>
          <w:rFonts w:hint="default" w:ascii="??_GB2312" w:hAnsi="??_GB2312" w:eastAsia="??_GB2312"/>
          <w:color w:val="auto"/>
          <w:sz w:val="32"/>
          <w:lang w:val="en-US"/>
        </w:rPr>
      </w:pPr>
      <w:r>
        <w:rPr>
          <w:rFonts w:hint="eastAsia" w:ascii="宋体" w:hAnsi="宋体"/>
          <w:color w:val="auto"/>
          <w:sz w:val="32"/>
          <w:lang w:val="zh-CN"/>
        </w:rPr>
        <w:t>　　　　李建明　　体育总局副局长</w:t>
      </w:r>
    </w:p>
    <w:p>
      <w:pPr>
        <w:spacing w:beforeLines="0" w:afterLines="0" w:line="600" w:lineRule="atLeast"/>
        <w:ind w:firstLine="420"/>
        <w:rPr>
          <w:rFonts w:hint="default" w:ascii="??_GB2312" w:hAnsi="??_GB2312" w:eastAsia="??_GB2312"/>
          <w:color w:val="auto"/>
          <w:sz w:val="32"/>
          <w:lang w:val="en-US"/>
        </w:rPr>
      </w:pPr>
      <w:r>
        <w:rPr>
          <w:rFonts w:hint="eastAsia" w:ascii="宋体" w:hAnsi="宋体"/>
          <w:color w:val="auto"/>
          <w:sz w:val="32"/>
          <w:lang w:val="zh-CN"/>
        </w:rPr>
        <w:t>　　　　施子海　　医保局副局长</w:t>
      </w:r>
    </w:p>
    <w:p>
      <w:pPr>
        <w:spacing w:beforeLines="0" w:afterLines="0" w:line="600" w:lineRule="atLeast"/>
        <w:ind w:firstLine="1696"/>
        <w:rPr>
          <w:rFonts w:hint="default" w:ascii="??_GB2312" w:hAnsi="??_GB2312" w:eastAsia="??_GB2312"/>
          <w:color w:val="auto"/>
          <w:sz w:val="32"/>
          <w:lang w:val="en-US"/>
        </w:rPr>
      </w:pPr>
      <w:r>
        <w:rPr>
          <w:rFonts w:hint="eastAsia" w:ascii="宋体" w:hAnsi="宋体"/>
          <w:color w:val="auto"/>
          <w:sz w:val="32"/>
          <w:lang w:val="zh-CN"/>
        </w:rPr>
        <w:t>严文斌　　新华社副社长</w:t>
      </w:r>
    </w:p>
    <w:p>
      <w:pPr>
        <w:spacing w:beforeLines="0" w:afterLines="0" w:line="600" w:lineRule="atLeast"/>
        <w:ind w:firstLine="420"/>
        <w:rPr>
          <w:rFonts w:hint="default" w:ascii="??_GB2312" w:hAnsi="??_GB2312" w:eastAsia="??_GB2312"/>
          <w:color w:val="auto"/>
          <w:sz w:val="32"/>
          <w:lang w:val="en-US"/>
        </w:rPr>
      </w:pPr>
      <w:r>
        <w:rPr>
          <w:rFonts w:hint="eastAsia" w:ascii="宋体" w:hAnsi="宋体"/>
          <w:color w:val="auto"/>
          <w:sz w:val="32"/>
          <w:lang w:val="zh-CN"/>
        </w:rPr>
        <w:t>　　　　段铁力　　烟草局副局长</w:t>
      </w:r>
    </w:p>
    <w:p>
      <w:pPr>
        <w:spacing w:beforeLines="0" w:afterLines="0" w:line="600" w:lineRule="atLeast"/>
        <w:ind w:firstLine="420"/>
        <w:rPr>
          <w:rFonts w:hint="default" w:ascii="??_GB2312" w:hAnsi="??_GB2312" w:eastAsia="??_GB2312"/>
          <w:color w:val="auto"/>
          <w:sz w:val="32"/>
          <w:lang w:val="en-US"/>
        </w:rPr>
      </w:pPr>
      <w:r>
        <w:rPr>
          <w:rFonts w:hint="eastAsia" w:ascii="宋体" w:hAnsi="宋体"/>
          <w:color w:val="auto"/>
          <w:sz w:val="32"/>
          <w:lang w:val="zh-CN"/>
        </w:rPr>
        <w:t>　　　　于春孝　　铁路局副局长</w:t>
      </w:r>
    </w:p>
    <w:p>
      <w:pPr>
        <w:spacing w:beforeLines="0" w:afterLines="0" w:line="600" w:lineRule="atLeast"/>
        <w:ind w:firstLine="420"/>
        <w:rPr>
          <w:rFonts w:hint="default" w:ascii="??_GB2312" w:hAnsi="??_GB2312" w:eastAsia="??_GB2312"/>
          <w:color w:val="auto"/>
          <w:sz w:val="32"/>
          <w:lang w:val="en-US"/>
        </w:rPr>
      </w:pPr>
      <w:r>
        <w:rPr>
          <w:rFonts w:hint="eastAsia" w:ascii="宋体" w:hAnsi="宋体"/>
          <w:color w:val="auto"/>
          <w:sz w:val="32"/>
          <w:lang w:val="zh-CN"/>
        </w:rPr>
        <w:t>　　　　李　健　　民航局副局长</w:t>
      </w:r>
    </w:p>
    <w:p>
      <w:pPr>
        <w:spacing w:beforeLines="0" w:afterLines="0" w:line="600" w:lineRule="atLeast"/>
        <w:ind w:firstLine="420"/>
        <w:rPr>
          <w:rFonts w:hint="default" w:ascii="??_GB2312" w:hAnsi="??_GB2312" w:eastAsia="??_GB2312"/>
          <w:color w:val="auto"/>
          <w:sz w:val="32"/>
          <w:lang w:val="en-US"/>
        </w:rPr>
      </w:pPr>
      <w:r>
        <w:rPr>
          <w:rFonts w:hint="eastAsia" w:ascii="宋体" w:hAnsi="宋体"/>
          <w:color w:val="auto"/>
          <w:sz w:val="32"/>
          <w:lang w:val="zh-CN"/>
        </w:rPr>
        <w:t>　　　　闫树江　　中医药局副局长</w:t>
      </w:r>
    </w:p>
    <w:p>
      <w:pPr>
        <w:spacing w:beforeLines="0" w:afterLines="0" w:line="600" w:lineRule="atLeast"/>
        <w:ind w:firstLine="420"/>
        <w:rPr>
          <w:rFonts w:hint="default" w:ascii="??_GB2312" w:hAnsi="??_GB2312" w:eastAsia="??_GB2312"/>
          <w:color w:val="auto"/>
          <w:sz w:val="32"/>
          <w:lang w:val="en-US"/>
        </w:rPr>
      </w:pPr>
      <w:r>
        <w:rPr>
          <w:rFonts w:hint="eastAsia" w:ascii="宋体" w:hAnsi="宋体"/>
          <w:color w:val="auto"/>
          <w:sz w:val="32"/>
          <w:lang w:val="zh-CN"/>
        </w:rPr>
        <w:t>　　　　陈时飞　　药监局副局长</w:t>
      </w:r>
    </w:p>
    <w:p>
      <w:pPr>
        <w:spacing w:beforeLines="0" w:afterLines="0" w:line="600" w:lineRule="atLeast"/>
        <w:ind w:firstLine="420"/>
        <w:rPr>
          <w:rFonts w:hint="default" w:ascii="??_GB2312" w:hAnsi="??_GB2312" w:eastAsia="??_GB2312"/>
          <w:color w:val="auto"/>
          <w:sz w:val="32"/>
          <w:lang w:val="en-US"/>
        </w:rPr>
      </w:pPr>
      <w:r>
        <w:rPr>
          <w:rFonts w:hint="eastAsia" w:ascii="宋体" w:hAnsi="宋体"/>
          <w:color w:val="auto"/>
          <w:sz w:val="32"/>
          <w:lang w:val="zh-CN"/>
        </w:rPr>
        <w:t>　　　　夏更生　　扶贫办副主任</w:t>
      </w:r>
    </w:p>
    <w:p>
      <w:pPr>
        <w:spacing w:beforeLines="0" w:afterLines="0" w:line="600" w:lineRule="atLeast"/>
        <w:ind w:firstLine="420"/>
        <w:rPr>
          <w:rFonts w:hint="default" w:ascii="??_GB2312" w:hAnsi="??_GB2312" w:eastAsia="??_GB2312"/>
          <w:color w:val="auto"/>
          <w:sz w:val="32"/>
          <w:lang w:val="en-US"/>
        </w:rPr>
      </w:pPr>
      <w:r>
        <w:rPr>
          <w:rFonts w:hint="eastAsia" w:ascii="宋体" w:hAnsi="宋体"/>
          <w:color w:val="auto"/>
          <w:sz w:val="32"/>
          <w:lang w:val="zh-CN"/>
        </w:rPr>
        <w:t>　　　　许正中　　人民日报社副总编辑</w:t>
      </w:r>
    </w:p>
    <w:p>
      <w:pPr>
        <w:spacing w:beforeLines="0" w:afterLines="0" w:line="600" w:lineRule="atLeast"/>
        <w:ind w:firstLine="420"/>
        <w:rPr>
          <w:rFonts w:hint="default" w:ascii="??_GB2312" w:hAnsi="??_GB2312" w:eastAsia="??_GB2312"/>
          <w:color w:val="auto"/>
          <w:sz w:val="32"/>
          <w:lang w:val="en-US"/>
        </w:rPr>
      </w:pPr>
      <w:r>
        <w:rPr>
          <w:rFonts w:hint="eastAsia" w:ascii="宋体" w:hAnsi="宋体"/>
          <w:color w:val="auto"/>
          <w:sz w:val="32"/>
          <w:lang w:val="zh-CN"/>
        </w:rPr>
        <w:t>　　　　阎京华　　全国总工会副主席、书记处书记</w:t>
      </w:r>
    </w:p>
    <w:p>
      <w:pPr>
        <w:spacing w:beforeLines="0" w:afterLines="0" w:line="600" w:lineRule="atLeast"/>
        <w:ind w:firstLine="420"/>
        <w:rPr>
          <w:rFonts w:hint="default" w:ascii="??_GB2312" w:hAnsi="??_GB2312" w:eastAsia="??_GB2312"/>
          <w:color w:val="auto"/>
          <w:sz w:val="32"/>
          <w:lang w:val="en-US"/>
        </w:rPr>
      </w:pPr>
      <w:r>
        <w:rPr>
          <w:rFonts w:hint="eastAsia" w:ascii="宋体" w:hAnsi="宋体"/>
          <w:color w:val="auto"/>
          <w:sz w:val="32"/>
          <w:lang w:val="zh-CN"/>
        </w:rPr>
        <w:t>　　　　李柯勇　　共青团中央书记处书记</w:t>
      </w:r>
    </w:p>
    <w:p>
      <w:pPr>
        <w:spacing w:beforeLines="0" w:afterLines="0" w:line="600" w:lineRule="atLeast"/>
        <w:ind w:firstLine="420"/>
        <w:rPr>
          <w:rFonts w:hint="default" w:ascii="??_GB2312" w:hAnsi="??_GB2312" w:eastAsia="??_GB2312"/>
          <w:color w:val="auto"/>
          <w:sz w:val="32"/>
          <w:lang w:val="en-US"/>
        </w:rPr>
      </w:pPr>
      <w:r>
        <w:rPr>
          <w:rFonts w:hint="eastAsia" w:ascii="宋体" w:hAnsi="宋体"/>
          <w:color w:val="auto"/>
          <w:sz w:val="32"/>
          <w:lang w:val="zh-CN"/>
        </w:rPr>
        <w:t>　　　　章冬梅　　全国妇联书记处书记</w:t>
      </w:r>
    </w:p>
    <w:p>
      <w:pPr>
        <w:spacing w:beforeLines="0" w:afterLines="0" w:line="600" w:lineRule="atLeast"/>
        <w:ind w:firstLine="420"/>
        <w:rPr>
          <w:rFonts w:hint="default" w:ascii="??_GB2312" w:hAnsi="??_GB2312" w:eastAsia="??_GB2312"/>
          <w:color w:val="auto"/>
          <w:sz w:val="32"/>
          <w:lang w:val="en-US"/>
        </w:rPr>
      </w:pPr>
      <w:r>
        <w:rPr>
          <w:rFonts w:hint="eastAsia" w:ascii="宋体" w:hAnsi="宋体"/>
          <w:color w:val="auto"/>
          <w:sz w:val="32"/>
          <w:lang w:val="zh-CN"/>
        </w:rPr>
        <w:t>　　　　孟庆海　　中国科协副主席、书记处书记</w:t>
      </w:r>
    </w:p>
    <w:p>
      <w:pPr>
        <w:spacing w:beforeLines="0" w:afterLines="0" w:line="600" w:lineRule="atLeast"/>
        <w:ind w:firstLine="420"/>
        <w:rPr>
          <w:rFonts w:hint="default" w:ascii="??_GB2312" w:hAnsi="??_GB2312" w:eastAsia="??_GB2312"/>
          <w:color w:val="auto"/>
          <w:sz w:val="32"/>
          <w:lang w:val="en-US"/>
        </w:rPr>
      </w:pPr>
      <w:r>
        <w:rPr>
          <w:rFonts w:hint="eastAsia" w:ascii="宋体" w:hAnsi="宋体"/>
          <w:color w:val="auto"/>
          <w:sz w:val="32"/>
          <w:lang w:val="zh-CN"/>
        </w:rPr>
        <w:t>　　　　贾　勇　　中国残联副理事长</w:t>
      </w:r>
    </w:p>
    <w:p>
      <w:pPr>
        <w:spacing w:beforeLines="0" w:afterLines="0" w:line="600" w:lineRule="atLeast"/>
        <w:ind w:firstLine="640"/>
        <w:rPr>
          <w:rFonts w:hint="default" w:ascii="??_GB2312" w:hAnsi="??_GB2312" w:eastAsia="??_GB2312"/>
          <w:color w:val="auto"/>
          <w:sz w:val="32"/>
          <w:lang w:val="en-US"/>
        </w:rPr>
      </w:pPr>
      <w:r>
        <w:rPr>
          <w:rFonts w:hint="eastAsia" w:ascii="宋体" w:hAnsi="宋体"/>
          <w:color w:val="auto"/>
          <w:sz w:val="32"/>
          <w:lang w:val="zh-CN"/>
        </w:rPr>
        <w:t>相关领域专家、全国人大代表、全国政协委员和社会知名人士代表若干名（具体人员由推进委员会按程序确定）</w:t>
      </w:r>
    </w:p>
    <w:p>
      <w:pPr>
        <w:spacing w:beforeLines="0" w:afterLines="0" w:line="600" w:lineRule="atLeast"/>
        <w:ind w:firstLine="420"/>
        <w:rPr>
          <w:rFonts w:hint="default" w:ascii="??_GB2312" w:hAnsi="??_GB2312" w:eastAsia="??_GB2312"/>
          <w:color w:val="auto"/>
          <w:sz w:val="32"/>
          <w:lang w:val="en-US"/>
        </w:rPr>
      </w:pPr>
      <w:r>
        <w:rPr>
          <w:rFonts w:hint="eastAsia" w:ascii="宋体" w:hAnsi="宋体"/>
          <w:color w:val="auto"/>
          <w:sz w:val="32"/>
          <w:lang w:val="zh-CN"/>
        </w:rPr>
        <w:t>秘书长：丁向阳（兼）</w:t>
      </w:r>
    </w:p>
    <w:p>
      <w:pPr>
        <w:spacing w:beforeLines="0" w:afterLines="0" w:line="600" w:lineRule="atLeast"/>
        <w:ind w:firstLine="420"/>
        <w:rPr>
          <w:rFonts w:hint="default" w:ascii="??_GB2312" w:hAnsi="??_GB2312" w:eastAsia="??_GB2312"/>
          <w:color w:val="auto"/>
          <w:sz w:val="32"/>
          <w:lang w:val="en-US"/>
        </w:rPr>
      </w:pPr>
      <w:r>
        <w:rPr>
          <w:rFonts w:hint="eastAsia" w:ascii="宋体" w:hAnsi="宋体"/>
          <w:color w:val="auto"/>
          <w:sz w:val="32"/>
          <w:lang w:val="zh-CN"/>
        </w:rPr>
        <w:t>　　　　于学军　　卫生健康委副主任</w:t>
      </w:r>
    </w:p>
    <w:p>
      <w:pPr>
        <w:spacing w:beforeLines="0" w:afterLines="0" w:line="600" w:lineRule="atLeast"/>
        <w:ind w:firstLine="420"/>
        <w:rPr>
          <w:rFonts w:hint="eastAsia" w:ascii="黑体" w:hAnsi="黑体" w:eastAsia="黑体"/>
          <w:color w:val="auto"/>
          <w:sz w:val="32"/>
          <w:lang w:val="zh-CN"/>
        </w:rPr>
      </w:pPr>
      <w:r>
        <w:rPr>
          <w:rFonts w:hint="eastAsia" w:ascii="黑体" w:hAnsi="黑体" w:eastAsia="黑体"/>
          <w:color w:val="auto"/>
          <w:sz w:val="32"/>
          <w:lang w:val="zh-CN"/>
        </w:rPr>
        <w:t>三、其他事项</w:t>
      </w:r>
    </w:p>
    <w:p>
      <w:pPr>
        <w:spacing w:beforeLines="0" w:afterLines="0" w:line="600" w:lineRule="atLeast"/>
        <w:ind w:firstLine="640"/>
        <w:rPr>
          <w:rFonts w:hint="default" w:ascii="??_GB2312" w:hAnsi="??_GB2312" w:eastAsia="??_GB2312"/>
          <w:color w:val="auto"/>
          <w:sz w:val="32"/>
          <w:lang w:val="en-US"/>
        </w:rPr>
      </w:pPr>
      <w:r>
        <w:rPr>
          <w:rFonts w:hint="eastAsia" w:ascii="宋体" w:hAnsi="宋体"/>
          <w:color w:val="auto"/>
          <w:sz w:val="32"/>
          <w:lang w:val="zh-CN"/>
        </w:rPr>
        <w:t>推进委员会办公室设在卫生健康委，承担推进委员会的日常工作，做好与爱国卫生有关工作的衔接。办公室主任由卫生健康委副主任于学军兼任，办公室成员由推进委员会成员单位有关司局负责同志、专家代表等担任。推进委员会成员因工作情况需要增加或调整的，由推进委员会办公室提出，按程序报推进委员会主任批准。推进委员会设立专家咨询委员会，为实施健康中国行动提供专业技术支持。</w:t>
      </w:r>
    </w:p>
    <w:p>
      <w:pPr>
        <w:spacing w:before="100" w:beforeLines="0" w:after="100" w:afterLines="0" w:line="600" w:lineRule="atLeast"/>
        <w:jc w:val="right"/>
        <w:rPr>
          <w:rFonts w:hint="default" w:ascii="??_GB2312" w:hAnsi="??_GB2312" w:eastAsia="??_GB2312"/>
          <w:color w:val="auto"/>
          <w:sz w:val="32"/>
          <w:lang w:val="en-US"/>
        </w:rPr>
      </w:pPr>
    </w:p>
    <w:p>
      <w:pPr>
        <w:spacing w:before="100" w:beforeLines="0" w:after="100" w:afterLines="0" w:line="600" w:lineRule="atLeast"/>
        <w:jc w:val="right"/>
        <w:rPr>
          <w:rFonts w:hint="default" w:ascii="??_GB2312" w:hAnsi="??_GB2312" w:eastAsia="??_GB2312"/>
          <w:color w:val="auto"/>
          <w:sz w:val="32"/>
          <w:lang w:val="en-US"/>
        </w:rPr>
      </w:pPr>
    </w:p>
    <w:p>
      <w:pPr>
        <w:spacing w:before="100" w:beforeLines="0" w:after="100" w:afterLines="0" w:line="600" w:lineRule="atLeast"/>
        <w:jc w:val="center"/>
        <w:rPr>
          <w:rFonts w:hint="default" w:ascii="??_GB2312" w:hAnsi="??_GB2312" w:eastAsia="??_GB2312"/>
          <w:color w:val="auto"/>
          <w:sz w:val="32"/>
          <w:lang w:val="en-US"/>
        </w:rPr>
      </w:pPr>
      <w:r>
        <w:rPr>
          <w:rFonts w:hint="default" w:ascii="??_GB2312" w:hAnsi="??_GB2312" w:eastAsia="??_GB2312"/>
          <w:color w:val="auto"/>
          <w:sz w:val="32"/>
          <w:lang w:val="en-US"/>
        </w:rPr>
        <w:t xml:space="preserve">                         </w:t>
      </w:r>
      <w:r>
        <w:rPr>
          <w:rFonts w:hint="eastAsia" w:ascii="宋体" w:hAnsi="宋体"/>
          <w:color w:val="auto"/>
          <w:sz w:val="32"/>
          <w:lang w:val="zh-CN"/>
        </w:rPr>
        <w:t>国务院办公厅</w:t>
      </w:r>
      <w:r>
        <w:rPr>
          <w:rFonts w:hint="default" w:ascii="??_GB2312" w:hAnsi="??_GB2312" w:eastAsia="??_GB2312"/>
          <w:color w:val="auto"/>
          <w:sz w:val="32"/>
          <w:lang w:val="en-US"/>
        </w:rPr>
        <w:br w:type="textWrapping"/>
      </w:r>
      <w:r>
        <w:rPr>
          <w:rFonts w:hint="default" w:ascii="??_GB2312" w:hAnsi="??_GB2312" w:eastAsia="??_GB2312"/>
          <w:color w:val="auto"/>
          <w:sz w:val="32"/>
          <w:lang w:val="en-US"/>
        </w:rPr>
        <w:t xml:space="preserve">                         2019</w:t>
      </w:r>
      <w:r>
        <w:rPr>
          <w:rFonts w:hint="eastAsia" w:ascii="宋体" w:hAnsi="宋体"/>
          <w:color w:val="auto"/>
          <w:sz w:val="32"/>
          <w:lang w:val="zh-CN"/>
        </w:rPr>
        <w:t>年</w:t>
      </w:r>
      <w:r>
        <w:rPr>
          <w:rFonts w:hint="default" w:ascii="??_GB2312" w:hAnsi="??_GB2312" w:eastAsia="??_GB2312"/>
          <w:color w:val="auto"/>
          <w:sz w:val="32"/>
          <w:lang w:val="en-US"/>
        </w:rPr>
        <w:t>7</w:t>
      </w:r>
      <w:r>
        <w:rPr>
          <w:rFonts w:hint="eastAsia" w:ascii="宋体" w:hAnsi="宋体"/>
          <w:color w:val="auto"/>
          <w:sz w:val="32"/>
          <w:lang w:val="zh-CN"/>
        </w:rPr>
        <w:t>月</w:t>
      </w:r>
      <w:r>
        <w:rPr>
          <w:rFonts w:hint="default" w:ascii="??_GB2312" w:hAnsi="??_GB2312" w:eastAsia="??_GB2312"/>
          <w:color w:val="auto"/>
          <w:sz w:val="32"/>
          <w:lang w:val="en-US"/>
        </w:rPr>
        <w:t>9</w:t>
      </w:r>
      <w:r>
        <w:rPr>
          <w:rFonts w:hint="eastAsia" w:ascii="宋体" w:hAnsi="宋体"/>
          <w:color w:val="auto"/>
          <w:sz w:val="32"/>
          <w:lang w:val="zh-CN"/>
        </w:rPr>
        <w:t>日</w:t>
      </w:r>
    </w:p>
    <w:p>
      <w:pPr>
        <w:spacing w:before="100" w:beforeLines="0" w:after="100" w:afterLines="0" w:line="600" w:lineRule="atLeast"/>
        <w:ind w:firstLine="420"/>
        <w:rPr>
          <w:rFonts w:hint="default" w:ascii="??_GB2312" w:hAnsi="??_GB2312" w:eastAsia="??_GB2312"/>
          <w:color w:val="auto"/>
          <w:sz w:val="32"/>
          <w:lang w:val="en-US"/>
        </w:rPr>
      </w:pPr>
      <w:r>
        <w:rPr>
          <w:rFonts w:hint="eastAsia" w:ascii="宋体" w:hAnsi="宋体"/>
          <w:color w:val="auto"/>
          <w:sz w:val="32"/>
          <w:lang w:val="zh-CN"/>
        </w:rPr>
        <w:t>（此件公开发布）</w:t>
      </w:r>
    </w:p>
    <w:p>
      <w:pPr>
        <w:spacing w:before="100" w:beforeLines="0" w:after="100" w:afterLines="0"/>
        <w:ind w:firstLine="420"/>
        <w:rPr>
          <w:rFonts w:hint="default" w:ascii="??_GB2312" w:hAnsi="??_GB2312" w:eastAsia="??_GB2312"/>
          <w:color w:val="auto"/>
          <w:sz w:val="32"/>
          <w:lang w:val="en-US"/>
        </w:rPr>
      </w:pPr>
    </w:p>
    <w:p>
      <w:pPr>
        <w:spacing w:beforeLines="0" w:afterLines="0" w:line="600" w:lineRule="atLeast"/>
        <w:ind w:firstLine="640"/>
        <w:rPr>
          <w:rFonts w:hint="eastAsia" w:ascii="黑体" w:hAnsi="黑体" w:eastAsia="黑体"/>
          <w:color w:val="auto"/>
          <w:sz w:val="32"/>
          <w:lang w:val="zh-CN"/>
        </w:rPr>
      </w:pPr>
    </w:p>
    <w:p>
      <w:pP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_GBK">
    <w:altName w:val="Segoe Print"/>
    <w:panose1 w:val="00000000000000000000"/>
    <w:charset w:val="00"/>
    <w:family w:val="auto"/>
    <w:pitch w:val="default"/>
    <w:sig w:usb0="00000000"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4EAB0A02"/>
    <w:rsid w:val="68696C0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2019-08-05T07:22:00Z</dcterms:created>
  <dc:creator>书记</dc:creator>
  <cp:lastModifiedBy>书记</cp:lastModifiedBy>
  <dcterms:modified xsi:type="dcterms:W3CDTF">2020-01-02T00:22:27Z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